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541257EA" w:rsidR="004416D3" w:rsidRPr="00F62F31" w:rsidRDefault="00AA6CB1" w:rsidP="00644708">
      <w:pPr>
        <w:pStyle w:val="Kop3"/>
      </w:pPr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</w:p>
    <w:p w14:paraId="7F89DC35" w14:textId="07D7393B" w:rsidR="00AE0710" w:rsidRDefault="00AE0710" w:rsidP="00AE0710">
      <w:r>
        <w:t xml:space="preserve">Naast de verzameling van alle regeltekst-delen (delen één) van alle besluiten tot vaststelling of wijziging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die samen de juridisch geldende versie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="007A6432">
        <w:t xml:space="preserve"> </w:t>
      </w:r>
      <w:r>
        <w:t xml:space="preserve">vormen, is er ook een geconsolideerde Regeling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. Een geconsolideerde Regeling bevat de inhoud van een regeling zoals die geldt op een bepaald moment. De geconsolideerde </w:t>
      </w:r>
      <w:r w:rsidR="003556F7">
        <w:t xml:space="preserve">Regeling </w:t>
      </w:r>
      <w:r>
        <w:t xml:space="preserve">wordt afgeleid uit het initiële besluit waarin steeds de (in werking getreden) wijzigingen uit de wijzigingsbesluiten zijn verwerkt tot een doorlopende versie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>.</w:t>
      </w:r>
    </w:p>
    <w:p w14:paraId="0AD00E14" w14:textId="66BB3AAA" w:rsidR="006E701A" w:rsidRDefault="00AE0710" w:rsidP="00AE0710">
      <w:r>
        <w:t xml:space="preserve">De geconsolideerde Regeling vormt de basis voor de weergave van de regeling op over-heid.nl van </w:t>
      </w:r>
      <w:r w:rsidR="008F6D0A">
        <w:fldChar w:fldCharType="begin"/>
      </w:r>
      <w:r w:rsidR="008F6D0A">
        <w:instrText xml:space="preserve"> DO</w:instrText>
      </w:r>
      <w:r w:rsidR="008F6D0A">
        <w:instrText xml:space="preserve">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="00E11A49">
        <w:t xml:space="preserve"> </w:t>
      </w:r>
      <w:r>
        <w:t>dat in DSO-LV te raadplegen is. Wanneer bij het regel-deel bijlagen zijn bijgevoegd worden die in de geconsolideerde Regeling opgenomen; wijzigingen die door het besluit in bestaande bijlagen worden aangebracht (aanpassingen in bestaande bijlagen of het geheel verwijderen van één of meer bijlagen) worden in de geconsolideerde Regeling verwerkt.</w:t>
      </w:r>
    </w:p>
    <w:p w14:paraId="5C9423F4" w14:textId="77777777" w:rsidR="00A67BA0" w:rsidRDefault="00A67BA0" w:rsidP="00AE0710"/>
    <w:p w14:paraId="232C9954" w14:textId="53F094F5" w:rsidR="00046EE3" w:rsidRPr="00F62F31" w:rsidRDefault="00046EE3" w:rsidP="0096753A">
      <w:r>
        <w:t xml:space="preserve">Naast de geconsolideerde </w:t>
      </w:r>
      <w:r w:rsidR="0076637E">
        <w:t xml:space="preserve">Regeling </w:t>
      </w:r>
      <w:r>
        <w:t xml:space="preserve">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zijn ook alle opeenvolgende besluiten tot wijziging van </w:t>
      </w:r>
      <w:r w:rsidR="008F6D0A">
        <w:fldChar w:fldCharType="begin"/>
      </w:r>
      <w:r w:rsidR="008F6D0A">
        <w:instrText xml:space="preserve"> DOCVAR</w:instrText>
      </w:r>
      <w:r w:rsidR="008F6D0A">
        <w:instrText xml:space="preserve">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volledig langs digitale weg beschikbaar. Bij het raadplegen van de geconsolideerde versie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op Wetten.nl kunnen per regel alle volledige achterliggende besluiten worden opgevraagd en geraadpleegd</w:t>
      </w:r>
      <w:r w:rsidR="0096753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