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68014" w14:textId="7A931F5A" w:rsidR="00A32580" w:rsidRPr="00F62F31" w:rsidRDefault="00A32580" w:rsidP="00644708">
      <w:pPr>
        <w:pStyle w:val="Kop4"/>
      </w:pPr>
      <w:r w:rsidRPr="00F62F31">
        <w:t>Toelichting</w:t>
      </w:r>
    </w:p>
    <w:p w14:paraId="25750711" w14:textId="6DC7313C" w:rsidR="00A32580" w:rsidRDefault="00A32580" w:rsidP="00BF2CDC">
      <w:r w:rsidRPr="00F62F31">
        <w:t xml:space="preserve">Om het bestuursorgaan de mogelijkheid te bieden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5F1E03">
        <w:rPr>
          <w:noProof/>
        </w:rPr>
        <w:t>de AMvB/MR</w:t>
      </w:r>
      <w:r w:rsidRPr="00F62F31">
        <w:fldChar w:fldCharType="end"/>
      </w:r>
      <w:r w:rsidRPr="00F62F31">
        <w:t xml:space="preserve"> </w:t>
      </w:r>
      <w:r w:rsidR="00BF2CDC" w:rsidRPr="00BF2CDC">
        <w:t>zoveel mogelijk naar eigen inzicht in te delen, stelt dit toepassingsprofiel slechts één indelingseis.</w:t>
      </w:r>
      <w:r w:rsidR="00163887">
        <w:t xml:space="preserve"> </w:t>
      </w:r>
      <w:r w:rsidR="008D129C">
        <w:t xml:space="preserve">Die betreft de </w:t>
      </w:r>
      <w:r w:rsidR="008D129C" w:rsidRPr="00AB2172">
        <w:t xml:space="preserve">bijlage </w:t>
      </w:r>
      <w:r w:rsidR="008D129C">
        <w:t>met namen</w:t>
      </w:r>
      <w:r w:rsidR="008D129C" w:rsidRPr="00AB2172">
        <w:t xml:space="preserve"> en identificatiecodes van de</w:t>
      </w:r>
      <w:r w:rsidR="008D129C">
        <w:t xml:space="preserve"> geografische</w:t>
      </w:r>
      <w:r w:rsidR="008D129C" w:rsidRPr="00AB2172">
        <w:t xml:space="preserve"> informatieobjecten</w:t>
      </w:r>
      <w:r w:rsidR="00AB2704">
        <w:t>.</w:t>
      </w:r>
      <w:r w:rsidR="0047549A">
        <w:t xml:space="preserve"> Als in een AMvB geen informatieobjecten voorkomen, vervalt deze verplichting.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