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A9E4" w14:textId="28BA493C" w:rsidR="00290BB7" w:rsidRDefault="00290BB7" w:rsidP="00644708">
      <w:pPr>
        <w:pStyle w:val="Kop4"/>
      </w:pPr>
      <w:r>
        <w:t>Toelichting</w:t>
      </w:r>
    </w:p>
    <w:p w14:paraId="5FA597E5" w14:textId="53608F71" w:rsidR="00290BB7" w:rsidRDefault="00290BB7" w:rsidP="00290BB7">
      <w:r>
        <w:t xml:space="preserve">In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>
        <w:t xml:space="preserve"> zullen regels voorkomen waarvan duidelijk moet zijn hoe er bij de toepassing ervan gemeten en/of gerekend moet worden. Dit zal onder andere het geval zijn bij omgevingswaarden (zie paragraaf</w:t>
      </w:r>
      <w:r w:rsidR="00885AC3">
        <w:t xml:space="preserve"> </w:t>
      </w:r>
      <w:r w:rsidR="007B10C7" w:rsidRPr="003505F6">
        <w:rPr>
          <w:rStyle w:val="Verwijzing"/>
        </w:rPr>
        <w:fldChar w:fldCharType="begin"/>
      </w:r>
      <w:r w:rsidR="007B10C7" w:rsidRPr="003505F6">
        <w:rPr>
          <w:rStyle w:val="Verwijzing"/>
        </w:rPr>
        <w:instrText xml:space="preserve"> REF _Ref_43bf2c0ce05841f7ffb085968129d87f_1 </w:instrText>
      </w:r>
      <w:r w:rsidR="00E56DCE" w:rsidRPr="003505F6">
        <w:rPr>
          <w:rStyle w:val="Verwijzing"/>
        </w:rPr>
        <w:instrText>\n \h</w:instrText>
      </w:r>
      <w:r w:rsidR="007B10C7" w:rsidRPr="003505F6">
        <w:rPr>
          <w:rStyle w:val="Verwijzing"/>
        </w:rPr>
        <w:instrText xml:space="preserve"> </w:instrText>
      </w:r>
      <w:r w:rsidR="007B10C7" w:rsidRPr="003505F6">
        <w:rPr>
          <w:rStyle w:val="Verwijzing"/>
        </w:rPr>
      </w:r>
      <w:r w:rsidR="007B10C7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6.4.7</w:t>
      </w:r>
      <w:r w:rsidR="007B10C7" w:rsidRPr="003505F6">
        <w:rPr>
          <w:rStyle w:val="Verwijzing"/>
        </w:rPr>
        <w:fldChar w:fldCharType="end"/>
      </w:r>
      <w:r>
        <w:t>) en omgevingsnormen (zie paragraaf</w:t>
      </w:r>
      <w:r w:rsidR="007B10C7">
        <w:t xml:space="preserve"> </w:t>
      </w:r>
      <w:r w:rsidR="00081B6A" w:rsidRPr="003505F6">
        <w:rPr>
          <w:rStyle w:val="Verwijzing"/>
        </w:rPr>
        <w:fldChar w:fldCharType="begin"/>
      </w:r>
      <w:r w:rsidR="00081B6A" w:rsidRPr="003505F6">
        <w:rPr>
          <w:rStyle w:val="Verwijzing"/>
        </w:rPr>
        <w:instrText xml:space="preserve"> REF _Ref_e35c375eb3c7373719bace4643a72c74_1 </w:instrText>
      </w:r>
      <w:r w:rsidR="00E56DCE" w:rsidRPr="003505F6">
        <w:rPr>
          <w:rStyle w:val="Verwijzing"/>
        </w:rPr>
        <w:instrText>\n \h</w:instrText>
      </w:r>
      <w:r w:rsidR="00081B6A" w:rsidRPr="003505F6">
        <w:rPr>
          <w:rStyle w:val="Verwijzing"/>
        </w:rPr>
        <w:instrText xml:space="preserve"> </w:instrText>
      </w:r>
      <w:r w:rsidR="00081B6A" w:rsidRPr="003505F6">
        <w:rPr>
          <w:rStyle w:val="Verwijzing"/>
        </w:rPr>
      </w:r>
      <w:r w:rsidR="00081B6A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6.4.8</w:t>
      </w:r>
      <w:r w:rsidR="00081B6A" w:rsidRPr="003505F6">
        <w:rPr>
          <w:rStyle w:val="Verwijzing"/>
        </w:rPr>
        <w:fldChar w:fldCharType="end"/>
      </w:r>
      <w:r>
        <w:t>). Hoe gemeten en/of gerekend moet worden, wordt vastgelegd in meet- en rekenbepalingen.</w:t>
      </w:r>
    </w:p>
    <w:p w14:paraId="2398197D" w14:textId="625C3C28" w:rsidR="00024DDB" w:rsidRDefault="00AD4B91" w:rsidP="00290BB7">
      <w:r w:rsidRPr="00AD4B91">
        <w:t>Meet- en reken</w:t>
      </w:r>
      <w:r w:rsidR="00BC1160">
        <w:t>bepalingen</w:t>
      </w:r>
      <w:r w:rsidRPr="00AD4B91">
        <w:t xml:space="preserve"> kunnen overal in </w:t>
      </w:r>
      <w:r w:rsidR="003C6272">
        <w:t xml:space="preserve">de </w:t>
      </w:r>
      <w:r w:rsidR="000F4AF5">
        <w:t xml:space="preserve">Regeling </w:t>
      </w:r>
      <w:r w:rsidRPr="00AD4B91">
        <w:t>voorkomen.</w:t>
      </w:r>
    </w:p>
    <w:p w14:paraId="1E79E1E7" w14:textId="1D168948" w:rsidR="0073192C" w:rsidRDefault="0073192C" w:rsidP="00290BB7"/>
    <w:p w14:paraId="01E2E298" w14:textId="077CAFEA" w:rsidR="00024DDB" w:rsidRDefault="0073192C" w:rsidP="00290BB7">
      <w:r>
        <w:t xml:space="preserve">Het is mogelijk om met de systematiek voor </w:t>
      </w:r>
      <w:r w:rsidR="00660133">
        <w:t xml:space="preserve">de </w:t>
      </w:r>
      <w:r>
        <w:t xml:space="preserve">Verwijzing die in paragraaf </w:t>
      </w:r>
      <w:r w:rsidR="0067058B" w:rsidRPr="003505F6">
        <w:rPr>
          <w:rStyle w:val="Verwijzing"/>
        </w:rPr>
        <w:fldChar w:fldCharType="begin"/>
      </w:r>
      <w:r w:rsidR="0067058B" w:rsidRPr="003505F6">
        <w:rPr>
          <w:rStyle w:val="Verwijzing"/>
        </w:rPr>
        <w:instrText xml:space="preserve"> REF _Ref_9cfb0daa1b4d5f825506436ee75d6ab2_1 </w:instrText>
      </w:r>
      <w:r w:rsidR="009D0EA5" w:rsidRPr="003505F6">
        <w:rPr>
          <w:rStyle w:val="Verwijzing"/>
        </w:rPr>
        <w:instrText>\n \h</w:instrText>
      </w:r>
      <w:r w:rsidR="002D2A53" w:rsidRPr="003505F6">
        <w:rPr>
          <w:rStyle w:val="Verwijzing"/>
        </w:rPr>
        <w:instrText>\n \h</w:instrText>
      </w:r>
      <w:r w:rsidR="0067058B" w:rsidRPr="003505F6">
        <w:rPr>
          <w:rStyle w:val="Verwijzing"/>
        </w:rPr>
        <w:instrText xml:space="preserve"> </w:instrText>
      </w:r>
      <w:r w:rsidR="0067058B" w:rsidRPr="003505F6">
        <w:rPr>
          <w:rStyle w:val="Verwijzing"/>
        </w:rPr>
      </w:r>
      <w:r w:rsidR="0067058B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5.8</w:t>
      </w:r>
      <w:r w:rsidR="0067058B" w:rsidRPr="003505F6">
        <w:rPr>
          <w:rStyle w:val="Verwijzing"/>
        </w:rPr>
        <w:fldChar w:fldCharType="end"/>
      </w:r>
      <w:r>
        <w:t xml:space="preserve"> is beschreven, </w:t>
      </w:r>
      <w:r w:rsidR="009B3056">
        <w:t xml:space="preserve">aan te geven welke </w:t>
      </w:r>
      <w:r w:rsidR="009B3056" w:rsidRPr="009B3056">
        <w:t>meet- en rekenbepalingen bij welke andere regels (</w:t>
      </w:r>
      <w:r w:rsidR="0032685B">
        <w:t>zoals</w:t>
      </w:r>
      <w:r w:rsidR="009B3056" w:rsidRPr="009B3056">
        <w:t xml:space="preserve"> een omgevingswaarde en/of omgevingsnorm)</w:t>
      </w:r>
      <w:r w:rsidR="009B3056">
        <w:t xml:space="preserve"> horen.</w:t>
      </w:r>
      <w:r w:rsidR="00824790">
        <w:t xml:space="preserve"> </w:t>
      </w:r>
      <w:r>
        <w:t xml:space="preserve">Die verwijzing maakt het, bijvoorbeeld op overheid.nl en in DSO-LV, mogelijk dat de raadpleger de </w:t>
      </w:r>
      <w:r w:rsidR="00E96E83" w:rsidRPr="00E96E83">
        <w:t>meet- en rekenbepaling</w:t>
      </w:r>
      <w:r w:rsidR="00824790">
        <w:t xml:space="preserve"> </w:t>
      </w:r>
      <w:r>
        <w:t xml:space="preserve">te zien krijgt </w:t>
      </w:r>
      <w:r w:rsidR="00824790">
        <w:t xml:space="preserve">waar deze </w:t>
      </w:r>
      <w:r>
        <w:t xml:space="preserve">in de regeltekst </w:t>
      </w:r>
      <w:r w:rsidR="00824790">
        <w:t>van toepassing is</w:t>
      </w:r>
      <w:r>
        <w:t>.</w:t>
      </w:r>
      <w:r w:rsidR="00F237ED">
        <w:t xml:space="preserve"> </w:t>
      </w:r>
      <w:r w:rsidR="00F237ED" w:rsidRPr="00F237ED">
        <w:t>D</w:t>
      </w:r>
      <w:r w:rsidR="00F237ED">
        <w:t>e verwijzing</w:t>
      </w:r>
      <w:r w:rsidR="00F237ED" w:rsidRPr="00F237ED">
        <w:t xml:space="preserve"> </w:t>
      </w:r>
      <w:r w:rsidR="00F237ED">
        <w:t xml:space="preserve">geeft </w:t>
      </w:r>
      <w:r w:rsidR="00F237ED" w:rsidRPr="00F237ED">
        <w:t xml:space="preserve">een generieke relatie; er wordt niet machineleesbaar gemaakt dat de </w:t>
      </w:r>
      <w:r w:rsidR="00F237ED">
        <w:t>verwijzing</w:t>
      </w:r>
      <w:r w:rsidR="00F237ED" w:rsidRPr="00F237ED">
        <w:t xml:space="preserve"> meet- en rekenbepalingen betref</w:t>
      </w:r>
      <w:r w:rsidR="00F237ED">
        <w:t>t</w:t>
      </w:r>
      <w:r w:rsidR="00F237ED" w:rsidRPr="00F237ED">
        <w:t>.</w:t>
      </w:r>
      <w:r>
        <w:t xml:space="preserve"> Het maken van zo’n verwijzing gebeurt in de software waarmee het omgevingsdocument wordt opgesteld en/of geannoteerd en vergt een menselijke handeling. Het gebeurt niet automatisch in bijvoorbeeld LVBB of DSO-LV en dus ook niet onbedoeld.</w:t>
      </w:r>
    </w:p>
    <w:p w14:paraId="6BF4AD50" w14:textId="781B936B" w:rsidR="00606A7B" w:rsidRDefault="00606A7B" w:rsidP="00290BB7"/>
    <w:p w14:paraId="121E19F2" w14:textId="3A6BB526" w:rsidR="00606A7B" w:rsidRDefault="00606A7B" w:rsidP="00290BB7">
      <w:r w:rsidRPr="001F149C">
        <w:t xml:space="preserve">Meet- en rekenbepalingen </w:t>
      </w:r>
      <w:r w:rsidRPr="00680DB0">
        <w:t xml:space="preserve">die in een bijlage worden geplaatst maken onlosmakelijk deel uit van het juridische deel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 w:rsidRPr="00680DB0">
        <w:t xml:space="preserve">. Om dat ook technisch te bewerkstelligen dienen dergelijke bijlagen </w:t>
      </w:r>
      <w:r w:rsidR="00A259B2">
        <w:t xml:space="preserve">onderdeel te zijn van de </w:t>
      </w:r>
      <w:r w:rsidRPr="00680DB0">
        <w:t xml:space="preserve">Regeling en niet </w:t>
      </w:r>
      <w:r w:rsidR="00A259B2">
        <w:t>van het Besluit</w:t>
      </w:r>
      <w:r w:rsidRPr="00680DB0">
        <w:t xml:space="preserve">. Alles wat deel uitmaakt van </w:t>
      </w:r>
      <w:r>
        <w:t xml:space="preserve">de </w:t>
      </w:r>
      <w:r w:rsidRPr="00680DB0">
        <w:t xml:space="preserve">Regeling wordt doorgeleverd aan DSO-LV en is daar te raadplegen. </w:t>
      </w:r>
      <w:r w:rsidRPr="009B3609">
        <w:t xml:space="preserve">Meet- en rekenbepalingen </w:t>
      </w:r>
      <w:r w:rsidRPr="00680DB0">
        <w:t>die in een bijlage buiten de Regeling worden geplaatst, zijn in DSO-LV niet te raadplegen.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