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4416D3" w:rsidRDefault="00DC26A8" w:rsidP="004416D3">
      <w:pPr>
        <w:pStyle w:val="Kop5"/>
      </w:pPr>
      <w:r>
        <w:t>Norm</w:t>
      </w:r>
    </w:p>
    <w:p w14:paraId="06B259C5" w14:textId="77777777" w:rsidR="004416D3" w:rsidRDefault="00DC26A8" w:rsidP="004416D3">
      <w:r>
        <w:t>De Gebiedsaanwijzing Water en watersysteem kent de volgende attributen:</w:t>
      </w:r>
    </w:p>
    <w:p w14:paraId="032AA007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4416D3" w:rsidRDefault="00DC26A8" w:rsidP="004416D3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DEF187D" w:rsidR="004416D3" w:rsidRDefault="00DC26A8" w:rsidP="004416D3">
      <w:pPr>
        <w:pStyle w:val="Opsommingtekens1"/>
      </w:pPr>
      <w:r w:rsidRPr="00B46848">
        <w:rPr>
          <w:i/>
          <w:iCs/>
        </w:rPr>
        <w:t>groep</w:t>
      </w:r>
      <w:r>
        <w:t>: de categorie waartoe de specifieke vorm van de Gebiedsaanwijzing Water en watersysteem behoort. Attribuut dat zorgt voor symbolisatie conform de standaardweergave. Te kiezen uit de limitatieve waardelijst ‘WaterEnWatersysteemgroep’. Verplicht attribuut. Komt 1 keer voor.</w:t>
      </w:r>
    </w:p>
    <w:p w14:paraId="354997E6" w14:textId="3FF62C15" w:rsidR="004416D3" w:rsidRPr="0014301D" w:rsidRDefault="00DC26A8" w:rsidP="004416D3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6E830007" w14:textId="3AA05E2C" w:rsidR="004416D3" w:rsidRDefault="00DC26A8" w:rsidP="004416D3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4416D3" w:rsidRDefault="004416D3" w:rsidP="004416D3"/>
    <w:p w14:paraId="71D7B8A1" w14:textId="2F08FC9A" w:rsidR="004416D3" w:rsidRDefault="00DC26A8" w:rsidP="004416D3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