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4416D3" w:rsidRDefault="00DC26A8" w:rsidP="004416D3">
      <w:pPr>
        <w:pStyle w:val="Kop5"/>
      </w:pPr>
      <w:r w:rsidRPr="00D60BFF">
        <w:t>Toelichting op de toepassing</w:t>
      </w:r>
    </w:p>
    <w:p w14:paraId="14369D35" w14:textId="7080940C" w:rsidR="004416D3" w:rsidRDefault="00DC26A8" w:rsidP="004416D3">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r w:rsidR="005E4866">
        <w:t xml:space="preserve"> </w:t>
      </w:r>
      <w:r w:rsidR="005E4866" w:rsidRPr="005E4866">
        <w:t>Het objecttype Regelingsgebied is noodzakelijk voor DSO-LV om het omgevingsdocument te kunnen tonen</w:t>
      </w:r>
      <w:r w:rsidR="005E4866">
        <w:t>.</w:t>
      </w:r>
    </w:p>
    <w:p w14:paraId="2E02550A" w14:textId="0B8C060A" w:rsidR="004416D3" w:rsidRDefault="00DC26A8" w:rsidP="004416D3">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