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Pr="007B60F8" w:rsidRDefault="003D5A24" w:rsidP="007D5679">
      <w:pPr>
        <w:pStyle w:val="Kop5"/>
      </w:pPr>
      <w:r w:rsidRPr="007B60F8">
        <w:t>Raadplegen in het officiële publicatieblad</w:t>
      </w:r>
    </w:p>
    <w:p w14:paraId="2131A589" w14:textId="1F4CF997" w:rsidR="003D5A24" w:rsidRPr="007B60F8" w:rsidRDefault="003D5A24">
      <w:r w:rsidRPr="007B60F8">
        <w:t xml:space="preserve">Op officielebekendmakingen.nl wordt het besluit formeel bekend gemaakt in het digitale publicatieblad van het bevoegde gezag. </w:t>
      </w:r>
      <w:r w:rsidR="009674B9" w:rsidRPr="007B60F8">
        <w:t>De</w:t>
      </w:r>
      <w:r w:rsidRPr="007B60F8">
        <w:t xml:space="preserve"> authentieke tekst van het besluit wordt in PDF-formaat weergegeven en er is een zogeheten landingspagina voor de informatieobjecten. Tevens is er een web-versie van het besluit.</w:t>
      </w:r>
    </w:p>
    <w:p w14:paraId="08A82C2D" w14:textId="77777777" w:rsidR="003D5A24" w:rsidRPr="007B60F8" w:rsidRDefault="003D5A24">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Pr="007B60F8" w:rsidRDefault="003D5A24">
      <w:r w:rsidRPr="007B60F8">
        <w:t xml:space="preserve">Raadplegen is alleen mogelijk per </w:t>
      </w:r>
      <w:r w:rsidR="005926E0" w:rsidRPr="007B60F8">
        <w:t>omgevings</w:t>
      </w:r>
      <w:r w:rsidRPr="007B60F8">
        <w:t>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