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358" w:name="_Ref_34998932473de55f30c1f418f8924b87_1"/>
      <w:r w:rsidRPr="00F03DD9">
        <w:t>Regeling</w:t>
      </w:r>
      <w:r>
        <w:t>Klassiek als onderdeel van een wijzigingsbesluit</w:t>
      </w:r>
      <w:bookmarkEnd w:id="358"/>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0BAB9AAA" w:rsidR="00713915" w:rsidRDefault="00713915" w:rsidP="00713915">
      <w:r>
        <w:t xml:space="preserve">Deze toepassingen leiden tot twee tamelijk uiteenlopende verschijningsvormen. Omwille van de overzichtelijkheid zijn ze in twee afzonderlijke paragrafen beschreven. De onderhavige paragraaf beschrijft </w:t>
      </w:r>
      <w:r w:rsidRPr="003371EE">
        <w:t>hoe RegelingKlassiek moet worden toegepast als het onderdeel is van een wijzigingsbesluit.</w:t>
      </w:r>
      <w:r>
        <w:t xml:space="preserve"> Paragraaf </w:t>
      </w:r>
      <w:r w:rsidRPr="00EF065D">
        <w:rPr>
          <w:rStyle w:val="Verwijzing"/>
        </w:rPr>
        <w:fldChar w:fldCharType="begin"/>
      </w:r>
      <w:r w:rsidRPr="00EF065D">
        <w:rPr>
          <w:rStyle w:val="Verwijzing"/>
        </w:rPr>
        <w:instrText xml:space="preserve"> REF _Ref_c8d3809ac1351135ff76b003db2b6b79_2 \r \h </w:instrText>
      </w:r>
      <w:r w:rsidRPr="00EF065D">
        <w:rPr>
          <w:rStyle w:val="Verwijzing"/>
        </w:rPr>
      </w:r>
      <w:r w:rsidRPr="00EF065D">
        <w:rPr>
          <w:rStyle w:val="Verwijzing"/>
        </w:rPr>
        <w:fldChar w:fldCharType="separate"/>
      </w:r>
      <w:r w:rsidR="00D90108" w:rsidRPr="00EF065D">
        <w:rPr>
          <w:rStyle w:val="Verwijzing"/>
        </w:rPr>
        <w:t>4.6.3.2</w:t>
      </w:r>
      <w:r w:rsidRPr="00EF065D">
        <w:rPr>
          <w:rStyle w:val="Verwijzing"/>
        </w:rPr>
        <w:fldChar w:fldCharType="end"/>
      </w:r>
      <w:r>
        <w:t xml:space="preserve"> beschrijft </w:t>
      </w:r>
      <w:r w:rsidRPr="003371EE">
        <w:t>RegelingKlassiek als model voor een regeling conform het klassieke model.</w:t>
      </w:r>
    </w:p>
    <w:p w14:paraId="532E31DC" w14:textId="4B0F8B36" w:rsidR="00030D6F" w:rsidRDefault="00713915" w:rsidP="00713915">
      <w:r>
        <w:t xml:space="preserve">In paragraaf </w:t>
      </w:r>
      <w:r w:rsidR="00BE1ACA" w:rsidRPr="00EF065D">
        <w:rPr>
          <w:rStyle w:val="Verwijzing"/>
        </w:rPr>
        <w:fldChar w:fldCharType="begin"/>
      </w:r>
      <w:r w:rsidR="00BE1ACA" w:rsidRPr="00EF065D">
        <w:rPr>
          <w:rStyle w:val="Verwijzing"/>
        </w:rPr>
        <w:instrText xml:space="preserve"> REF _Ref_34998932473de55f30c1f418f8924b87_2 \n \h </w:instrText>
      </w:r>
      <w:r w:rsidR="00BE1ACA" w:rsidRPr="00EF065D">
        <w:rPr>
          <w:rStyle w:val="Verwijzing"/>
        </w:rPr>
      </w:r>
      <w:r w:rsidR="00BE1ACA" w:rsidRPr="00EF065D">
        <w:rPr>
          <w:rStyle w:val="Verwijzing"/>
        </w:rPr>
        <w:fldChar w:fldCharType="separate"/>
      </w:r>
      <w:r w:rsidR="00D90108" w:rsidRPr="00EF065D">
        <w:rPr>
          <w:rStyle w:val="Verwijzing"/>
        </w:rPr>
        <w:t>4.6.3.3.1</w:t>
      </w:r>
      <w:r w:rsidR="00BE1ACA" w:rsidRPr="00EF065D">
        <w:rPr>
          <w:rStyle w:val="Verwijzing"/>
        </w:rPr>
        <w:fldChar w:fldCharType="end"/>
      </w:r>
      <w:r>
        <w:t xml:space="preserve"> is de norm voor het model RegelingKlassiek vastgelegd: welke elementen moeten respectievelijk mogen worden gebruikt en hoe vaak kunnen ze voorkomen. Paragraaf </w:t>
      </w:r>
      <w:r w:rsidR="003F611C" w:rsidRPr="00EF065D">
        <w:rPr>
          <w:rStyle w:val="Verwijzing"/>
        </w:rPr>
        <w:fldChar w:fldCharType="begin"/>
      </w:r>
      <w:r w:rsidR="003F611C" w:rsidRPr="00EF065D">
        <w:rPr>
          <w:rStyle w:val="Verwijzing"/>
        </w:rPr>
        <w:instrText xml:space="preserve"> REF _Ref_34998932473de55f30c1f418f8924b87_3 \n \h </w:instrText>
      </w:r>
      <w:r w:rsidR="003F611C" w:rsidRPr="00EF065D">
        <w:rPr>
          <w:rStyle w:val="Verwijzing"/>
        </w:rPr>
      </w:r>
      <w:r w:rsidR="003F611C" w:rsidRPr="00EF065D">
        <w:rPr>
          <w:rStyle w:val="Verwijzing"/>
        </w:rPr>
        <w:fldChar w:fldCharType="separate"/>
      </w:r>
      <w:r w:rsidR="00D90108" w:rsidRPr="00EF065D">
        <w:rPr>
          <w:rStyle w:val="Verwijzing"/>
        </w:rPr>
        <w:t>4.6.3.3.2</w:t>
      </w:r>
      <w:r w:rsidR="003F611C" w:rsidRPr="00EF065D">
        <w:rPr>
          <w:rStyle w:val="Verwijzing"/>
        </w:rPr>
        <w:fldChar w:fldCharType="end"/>
      </w:r>
      <w:r>
        <w:t xml:space="preserve"> geeft een toelichting op de elementen van de Regeling.</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713915" w:rsidRDefault="00713915" w:rsidP="00713915">
      <w:pPr>
        <w:pStyle w:val="Kop6"/>
      </w:pPr>
      <w:bookmarkStart w:id="360" w:name="_Ref_34998932473de55f30c1f418f8924b87_2"/>
      <w:r>
        <w:t>Norm</w:t>
      </w:r>
      <w:bookmarkEnd w:id="360"/>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77777777"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Pr="00635775">
        <w:t>Optioneel element. Komt 0 of 1 keer voor.</w:t>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77777777"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gewijzigd</w:t>
      </w:r>
      <w:r w:rsidRPr="00F03DD9">
        <w:t xml:space="preserve">. Verplicht element. Komt ten minste 1 keer voor. </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7EE67B62" w14:textId="77777777" w:rsidR="00713915" w:rsidRPr="00F03DD9" w:rsidRDefault="00713915" w:rsidP="00713915">
      <w:pPr>
        <w:pStyle w:val="Opsommingtekens3"/>
      </w:pPr>
      <w:r w:rsidRPr="00547F56">
        <w:rPr>
          <w:i/>
          <w:iCs/>
        </w:rPr>
        <w:t>RegelingMutatie</w:t>
      </w:r>
      <w:r>
        <w:t>: STOP-</w:t>
      </w:r>
      <w:r w:rsidRPr="00F03DD9">
        <w:t xml:space="preserve">element dat de wijzigingen tussen twee RegelingVersies in was-wordt oftewel renvooiweergave bevat. Onder voorwaarde verplicht element: </w:t>
      </w:r>
      <w:r w:rsidRPr="00F03DD9">
        <w:lastRenderedPageBreak/>
        <w:t xml:space="preserve">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6B184A92" w14:textId="77777777" w:rsidR="00713915" w:rsidRPr="00514D8D" w:rsidRDefault="00713915" w:rsidP="00713915">
      <w:pPr>
        <w:pStyle w:val="Opsommingtekens5"/>
      </w:pPr>
      <w:r w:rsidRPr="00514D8D">
        <w:t>VoegToe: element dat aangeeft dat een tekstonderdeel aan een bestaande Regeling wordt toegevoegd, op welke plaats en op welke wijze;</w:t>
      </w:r>
    </w:p>
    <w:p w14:paraId="10A0A1C6" w14:textId="2AA691F0" w:rsidR="00030D6F" w:rsidRPr="00514D8D" w:rsidRDefault="00713915" w:rsidP="00713915">
      <w:pPr>
        <w:pStyle w:val="Opsommingtekens5"/>
      </w:pPr>
      <w:r w:rsidRPr="00514D8D">
        <w:t>Vervang: element dat aangeeft dat het onderdeel een tekstonderdeel in een bestaande Regeling vervangt;</w:t>
      </w:r>
    </w:p>
    <w:p w14:paraId="5D664415" w14:textId="7D6AE7A4" w:rsidR="00713915" w:rsidRPr="00514D8D" w:rsidRDefault="00713915" w:rsidP="00713915">
      <w:pPr>
        <w:pStyle w:val="Opsommingtekens5"/>
      </w:pPr>
      <w:r w:rsidRPr="00514D8D">
        <w:t>VervangKop: element dat aangeeft dat (de tekstuele inhoud van) een Kop wordt gewijzigd;</w:t>
      </w:r>
    </w:p>
    <w:p w14:paraId="374EB8A4" w14:textId="77777777" w:rsidR="00713915" w:rsidRPr="00F03DD9" w:rsidRDefault="00713915" w:rsidP="00713915">
      <w:pPr>
        <w:pStyle w:val="Opsommingtekens5"/>
      </w:pPr>
      <w:r w:rsidRPr="00514D8D">
        <w:t>Verwijder: element</w:t>
      </w:r>
      <w:r w:rsidRPr="00F03DD9">
        <w:t xml:space="preserve"> dat aangeeft dat een tekstonderdeel uit een bestaande Regeling wordt verwijderd.</w:t>
      </w:r>
    </w:p>
    <w:p w14:paraId="620E2B57"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6A9FE582"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85CCC7B"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B1D5697"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7F8F9267"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41F0786C"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41489C94"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19ABAF56"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623E7DE1" w:rsidR="00713915" w:rsidRDefault="00713915" w:rsidP="00713915">
      <w:pPr>
        <w:pStyle w:val="Opsommingtekens4"/>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B356CCE"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0B9BFA13"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6F25F7D4" w:rsidR="00713915" w:rsidRDefault="00713915" w:rsidP="00713915">
      <w:pPr>
        <w:pStyle w:val="Opsommingtekens4"/>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8CC29D6" w14:textId="3322C8B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r>
        <w:br/>
      </w: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2A0BC052"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w:t>
      </w:r>
      <w:r w:rsidRPr="00F03DD9">
        <w:lastRenderedPageBreak/>
        <w:t>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1FDDD877"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61441A">
        <w:t>Optioneel kan het element Subtitel worden toegevoegd.</w:t>
      </w:r>
    </w:p>
    <w:p w14:paraId="1CC61C6F" w14:textId="7D01C962" w:rsidR="00713915" w:rsidRPr="00F03DD9" w:rsidRDefault="00713915" w:rsidP="00713915">
      <w:pPr>
        <w:pStyle w:val="Opsommingtekens2"/>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73D8192" w14:textId="77777777" w:rsidR="00713915" w:rsidRDefault="00713915" w:rsidP="00713915">
      <w:pPr>
        <w:pStyle w:val="Kop6"/>
      </w:pPr>
      <w:bookmarkStart w:id="361" w:name="_Ref_34998932473de55f30c1f418f8924b87_3"/>
      <w:r>
        <w:t>Toelichting</w:t>
      </w:r>
      <w:bookmarkEnd w:id="361"/>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7E33FDB0"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EF065D">
        <w:rPr>
          <w:rStyle w:val="Verwijzing"/>
        </w:rPr>
        <w:fldChar w:fldCharType="begin"/>
      </w:r>
      <w:r w:rsidR="00BE1ACA" w:rsidRPr="00EF065D">
        <w:rPr>
          <w:rStyle w:val="Verwijzing"/>
        </w:rPr>
        <w:instrText xml:space="preserve"> REF _Ref_34998932473de55f30c1f418f8924b87_2 \n \h </w:instrText>
      </w:r>
      <w:r w:rsidR="00BE1ACA" w:rsidRPr="00EF065D">
        <w:rPr>
          <w:rStyle w:val="Verwijzing"/>
        </w:rPr>
      </w:r>
      <w:r w:rsidR="00BE1ACA" w:rsidRPr="00EF065D">
        <w:rPr>
          <w:rStyle w:val="Verwijzing"/>
        </w:rPr>
        <w:fldChar w:fldCharType="separate"/>
      </w:r>
      <w:r w:rsidR="00D90108" w:rsidRPr="00EF065D">
        <w:rPr>
          <w:rStyle w:val="Verwijzing"/>
        </w:rPr>
        <w:t>4.6.3.3.1</w:t>
      </w:r>
      <w:r w:rsidR="00BE1ACA"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77777777"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7519C633"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alleen reguliere Artikelen en geen WijzigArtikelen.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D</w:t>
      </w:r>
      <w:r>
        <w:t xml:space="preserve">eze </w:t>
      </w:r>
      <w:r>
        <w:lastRenderedPageBreak/>
        <w:t xml:space="preserve">artikelen </w:t>
      </w:r>
      <w:r w:rsidRPr="005015E6">
        <w:t>word</w:t>
      </w:r>
      <w:r>
        <w:t>en</w:t>
      </w:r>
      <w:r w:rsidRPr="005015E6">
        <w:t xml:space="preserve"> geannoteerd met</w:t>
      </w:r>
      <w:r>
        <w:t xml:space="preserve"> de</w:t>
      </w:r>
      <w:r w:rsidRPr="005015E6">
        <w:t xml:space="preserve"> IMOW-objecten </w:t>
      </w:r>
      <w:r>
        <w:t xml:space="preserve">die zijn </w:t>
      </w:r>
      <w:r w:rsidRPr="005015E6">
        <w:t xml:space="preserve">beschreven in hoofdstuk </w:t>
      </w:r>
      <w:r w:rsidR="00823EA7" w:rsidRPr="00EF065D">
        <w:rPr>
          <w:rStyle w:val="Verwijzing"/>
        </w:rPr>
        <w:fldChar w:fldCharType="begin"/>
      </w:r>
      <w:r w:rsidR="00823EA7" w:rsidRPr="00EF065D">
        <w:rPr>
          <w:rStyle w:val="Verwijzing"/>
        </w:rPr>
        <w:instrText xml:space="preserve"> REF _Ref_e25eb2d38c8206df62dff5defc49ca5b_3 \r \h </w:instrText>
      </w:r>
      <w:r w:rsidR="00823EA7" w:rsidRPr="00EF065D">
        <w:rPr>
          <w:rStyle w:val="Verwijzing"/>
        </w:rPr>
      </w:r>
      <w:r w:rsidR="00823EA7" w:rsidRPr="00EF065D">
        <w:rPr>
          <w:rStyle w:val="Verwijzing"/>
        </w:rPr>
        <w:fldChar w:fldCharType="separate"/>
      </w:r>
      <w:r w:rsidR="00D90108" w:rsidRPr="00EF065D">
        <w:rPr>
          <w:rStyle w:val="Verwijzing"/>
        </w:rPr>
        <w:t>7</w:t>
      </w:r>
      <w:r w:rsidR="00823EA7" w:rsidRPr="00EF065D">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br/>
        <w:t>V</w:t>
      </w:r>
      <w:r w:rsidRPr="00A17C1F">
        <w:t xml:space="preserve">oor de WijzigArtikelen en de Artikelen rechtstreeks onder het Lichaam </w:t>
      </w:r>
      <w:r>
        <w:t xml:space="preserve">gelden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niet. Ze kunnen niet worden geannoteerd met de in hoofdstuk </w:t>
      </w:r>
      <w:r w:rsidR="000B4371" w:rsidRPr="00EF065D">
        <w:rPr>
          <w:rStyle w:val="Verwijzing"/>
        </w:rPr>
        <w:fldChar w:fldCharType="begin"/>
      </w:r>
      <w:r w:rsidR="000B4371" w:rsidRPr="00EF065D">
        <w:rPr>
          <w:rStyle w:val="Verwijzing"/>
        </w:rPr>
        <w:instrText xml:space="preserve"> REF _Ref_e25eb2d38c8206df62dff5defc49ca5b_3 \r \h </w:instrText>
      </w:r>
      <w:r w:rsidR="000B4371" w:rsidRPr="00EF065D">
        <w:rPr>
          <w:rStyle w:val="Verwijzing"/>
        </w:rPr>
      </w:r>
      <w:r w:rsidR="000B4371" w:rsidRPr="00EF065D">
        <w:rPr>
          <w:rStyle w:val="Verwijzing"/>
        </w:rPr>
        <w:fldChar w:fldCharType="separate"/>
      </w:r>
      <w:r w:rsidR="00D90108" w:rsidRPr="00EF065D">
        <w:rPr>
          <w:rStyle w:val="Verwijzing"/>
        </w:rPr>
        <w:t>7</w:t>
      </w:r>
      <w:r w:rsidR="000B4371" w:rsidRPr="00EF065D">
        <w:rPr>
          <w:rStyle w:val="Verwijzing"/>
        </w:rPr>
        <w:fldChar w:fldCharType="end"/>
      </w:r>
      <w:r>
        <w:t xml:space="preserve"> beschreven annotaties met IMOW-objecten.</w:t>
      </w:r>
    </w:p>
    <w:p w14:paraId="604FEFA1"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75A8DB7C" w14:textId="18EB16C9"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kunnen worden opgenomen. </w:t>
      </w:r>
      <w:r w:rsidRPr="00A761B2">
        <w:t xml:space="preserve">Er kunnen zoveel bijlagen bij </w:t>
      </w:r>
      <w:r>
        <w:t xml:space="preserve">de Regeling </w:t>
      </w:r>
      <w:r w:rsidRPr="00A761B2">
        <w:t xml:space="preserve">worden gevoegd als nodig is. </w:t>
      </w:r>
      <w:r>
        <w:t>Een voorbeeld is de bijlage met verwijzingen naar de (elders gepubliceerde) geografische informatieobjecten. 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document-informatieobject.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0B4371" w:rsidRPr="00EF065D">
        <w:rPr>
          <w:rStyle w:val="Verwijzing"/>
        </w:rPr>
        <w:fldChar w:fldCharType="begin"/>
      </w:r>
      <w:r w:rsidR="000B4371" w:rsidRPr="00EF065D">
        <w:rPr>
          <w:rStyle w:val="Verwijzing"/>
        </w:rPr>
        <w:instrText xml:space="preserve"> REF _Ref_fab369464ffdb76801f7c98aceb78e50_1 \r \h </w:instrText>
      </w:r>
      <w:r w:rsidR="000B4371" w:rsidRPr="00EF065D">
        <w:rPr>
          <w:rStyle w:val="Verwijzing"/>
        </w:rPr>
      </w:r>
      <w:r w:rsidR="000B4371" w:rsidRPr="00EF065D">
        <w:rPr>
          <w:rStyle w:val="Verwijzing"/>
        </w:rPr>
        <w:fldChar w:fldCharType="separate"/>
      </w:r>
      <w:r w:rsidR="00D90108" w:rsidRPr="00EF065D">
        <w:rPr>
          <w:rStyle w:val="Verwijzing"/>
        </w:rPr>
        <w:t>5.4</w:t>
      </w:r>
      <w:r w:rsidR="000B4371" w:rsidRPr="00EF065D">
        <w:rPr>
          <w:rStyle w:val="Verwijzing"/>
        </w:rPr>
        <w:fldChar w:fldCharType="end"/>
      </w:r>
      <w:r>
        <w:t xml:space="preserve">. </w:t>
      </w:r>
      <w:r>
        <w:br/>
      </w:r>
      <w:r w:rsidRPr="00A3156C">
        <w:t xml:space="preserve">In </w:t>
      </w:r>
      <w:r>
        <w:t xml:space="preserve">een </w:t>
      </w:r>
      <w:r w:rsidRPr="00A3156C">
        <w:t xml:space="preserve">Bijlage 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Een Bijlage wordt niet geannoteerd met IMOW-objecten.</w:t>
      </w:r>
    </w:p>
    <w:p w14:paraId="69F928BE" w14:textId="77777777" w:rsidR="00713915" w:rsidRPr="00B64D21" w:rsidRDefault="00713915" w:rsidP="00713915">
      <w:pPr>
        <w:pStyle w:val="Opsommingnummers1"/>
      </w:pPr>
      <w:r w:rsidRPr="00B64D21">
        <w:rPr>
          <w:b/>
          <w:bCs/>
        </w:rPr>
        <w:t>Toelichting</w:t>
      </w:r>
      <w:r w:rsidRPr="00B64D21">
        <w:t xml:space="preserve">: de Toelichting op de Regeling. STOP biedt voor toelichtingen </w:t>
      </w:r>
      <w:r>
        <w:t>een aantal</w:t>
      </w:r>
      <w:r w:rsidRPr="00B64D21">
        <w:t xml:space="preserve"> keuzemogelijkheden:</w:t>
      </w:r>
    </w:p>
    <w:p w14:paraId="169CF53D"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1E78F470"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214626E9" w14:textId="77777777" w:rsidR="00713915" w:rsidRPr="00B64D21" w:rsidRDefault="00713915" w:rsidP="00713915">
      <w:pPr>
        <w:pStyle w:val="Opsommingtekens3"/>
      </w:pPr>
      <w:r w:rsidRPr="00B64D21">
        <w:t>ArtikelgewijzeToelichting: kies het ‘hoofdelement’ ArtikelgewijzeToelichting als er bij de Regeling alleen een artikelsgewijze toelichting is. Dit ‘hoofdelement’ wordt hierna beschreven, zie nr. 5.</w:t>
      </w:r>
    </w:p>
    <w:p w14:paraId="1B4F714B" w14:textId="77777777" w:rsidR="00713915" w:rsidRPr="00B64D21" w:rsidRDefault="00713915" w:rsidP="00713915">
      <w:pPr>
        <w:pStyle w:val="Opsommingtekens2"/>
      </w:pPr>
      <w:r>
        <w:t xml:space="preserve">Wanneer </w:t>
      </w:r>
      <w:r w:rsidRPr="00B64D21">
        <w:t>is gekozen voor het ‘hoofdelement’ Toelichting is er een vervolgkeuze:</w:t>
      </w:r>
    </w:p>
    <w:p w14:paraId="51BA0A02" w14:textId="77777777" w:rsidR="00713915" w:rsidRPr="00B64D21" w:rsidRDefault="00713915" w:rsidP="00713915">
      <w:pPr>
        <w:pStyle w:val="Opsommingtekens3"/>
      </w:pPr>
      <w:r w:rsidRPr="00B64D21">
        <w:lastRenderedPageBreak/>
        <w:t>Er is alleen een algemene toelichting</w:t>
      </w:r>
      <w:r w:rsidRPr="00B64D21">
        <w:br/>
        <w:t>In dit geval is er nog een keuze tussen:</w:t>
      </w:r>
    </w:p>
    <w:p w14:paraId="691EDEAB" w14:textId="77777777" w:rsidR="00713915" w:rsidRPr="00B64D21" w:rsidRDefault="00713915" w:rsidP="00713915">
      <w:pPr>
        <w:pStyle w:val="Opsommingtekens4"/>
      </w:pPr>
      <w:r w:rsidRPr="00B64D21">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60512E32" w14:textId="77777777" w:rsidR="00713915" w:rsidRPr="00B64D21" w:rsidRDefault="00713915" w:rsidP="00713915">
      <w:pPr>
        <w:pStyle w:val="Opsommingtekens4"/>
      </w:pPr>
      <w:r w:rsidRPr="00B64D21">
        <w:t xml:space="preserve">Een </w:t>
      </w:r>
      <w:r>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25661978"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667E48F4" w14:textId="5339684C"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D90108">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IMOW-objecten.</w:t>
      </w:r>
    </w:p>
    <w:p w14:paraId="6B2091EE" w14:textId="15C19541"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Toelichting bij de Regeling.</w:t>
      </w:r>
      <w:r>
        <w:t xml:space="preserve"> Dit element moet worden gebruikt </w:t>
      </w:r>
      <w:r w:rsidRPr="000F50EF">
        <w:t xml:space="preserve">als er bij de Regeling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de Regeling wordt bekendgemaakt én geconsolideerd. Deze </w:t>
      </w:r>
      <w:r>
        <w:t xml:space="preserve">artikelsgewijze </w:t>
      </w:r>
      <w:r w:rsidRPr="00B213E7">
        <w:t>toelichting is dus zowel te vinden op officielebekendmakingen.nl als in de regelingenbank op overheid.nl en in DSO-LV.</w:t>
      </w:r>
      <w:r>
        <w:t xml:space="preserve"> </w:t>
      </w:r>
      <w:r w:rsidRPr="00907FCB">
        <w:t>Een ArtikelgewijzeToelichting wordt niet geannoteerd met IMOW-objecten.</w:t>
      </w:r>
    </w:p>
    <w:p w14:paraId="5B8B38A4" w14:textId="77777777" w:rsidR="00713915" w:rsidRDefault="00713915" w:rsidP="00713915"/>
    <w:p w14:paraId="0708DC0D" w14:textId="5083BB93"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79EE847C" w14:textId="77777777" w:rsidR="00713915" w:rsidRPr="00E16DBE"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