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C9D86" w14:textId="77777777" w:rsidR="00713915" w:rsidRDefault="00713915" w:rsidP="00713915">
      <w:pPr>
        <w:pStyle w:val="Kop5"/>
      </w:pPr>
      <w:bookmarkStart w:id="399" w:name="_Ref_3ba387e95486d64a48ee0e1ad4f1ce88_1"/>
      <w:r>
        <w:t>Toelichting</w:t>
      </w:r>
      <w:bookmarkEnd w:id="399"/>
    </w:p>
    <w:p w14:paraId="6D040680" w14:textId="1B29090E" w:rsidR="00713915" w:rsidRDefault="00713915" w:rsidP="00713915">
      <w:r w:rsidRPr="00446D75">
        <w:t xml:space="preserve">RegelingTijdelijkdeel is het model dat een bevoegd gezag moet gebruiken </w:t>
      </w:r>
      <w:r>
        <w:t xml:space="preserve">bij het vaststellen van </w:t>
      </w:r>
      <w:r w:rsidRPr="00236A32">
        <w:t>nieuwe voorbeschermingsregels</w:t>
      </w:r>
      <w:r>
        <w:t>,</w:t>
      </w:r>
      <w:r w:rsidRPr="00236A32">
        <w:t xml:space="preserve"> </w:t>
      </w:r>
      <w:r w:rsidRPr="00446D75">
        <w:t xml:space="preserve">als </w:t>
      </w:r>
      <w:r>
        <w:t xml:space="preserve">onderdeel van </w:t>
      </w:r>
      <w:r w:rsidRPr="00446D75">
        <w:t xml:space="preserve">een voorbereidingsbesluit. </w:t>
      </w:r>
      <w:r>
        <w:t>I</w:t>
      </w:r>
      <w:r w:rsidRPr="00352C14">
        <w:t xml:space="preserve">eder tijdelijk regelingdeel met voorbeschermingsregels </w:t>
      </w:r>
      <w:r>
        <w:t xml:space="preserve">is daardoor opgebouwd conform het model </w:t>
      </w:r>
      <w:r w:rsidRPr="00446D75">
        <w:t>RegelingTijdelijkdeel.</w:t>
      </w:r>
      <w:r>
        <w:t xml:space="preserve"> Zoals in hoofdstuk </w:t>
      </w:r>
      <w:r w:rsidR="003A77E7" w:rsidRPr="00EF065D">
        <w:rPr>
          <w:rStyle w:val="Verwijzing"/>
        </w:rPr>
        <w:fldChar w:fldCharType="begin"/>
      </w:r>
      <w:r w:rsidR="003A77E7" w:rsidRPr="00EF065D">
        <w:rPr>
          <w:rStyle w:val="Verwijzing"/>
        </w:rPr>
        <w:instrText xml:space="preserve"> REF _Ref_8cc6c3530ceef186c7708a24c1bc5431_1 \n \h </w:instrText>
      </w:r>
      <w:r w:rsidR="003A77E7" w:rsidRPr="00EF065D">
        <w:rPr>
          <w:rStyle w:val="Verwijzing"/>
        </w:rPr>
      </w:r>
      <w:r w:rsidR="003A77E7" w:rsidRPr="00EF065D">
        <w:rPr>
          <w:rStyle w:val="Verwijzing"/>
        </w:rPr>
        <w:fldChar w:fldCharType="separate"/>
      </w:r>
      <w:r w:rsidR="00D90108" w:rsidRPr="00EF065D">
        <w:rPr>
          <w:rStyle w:val="Verwijzing"/>
        </w:rPr>
        <w:t>2</w:t>
      </w:r>
      <w:r w:rsidR="003A77E7" w:rsidRPr="00EF065D">
        <w:rPr>
          <w:rStyle w:val="Verwijzing"/>
        </w:rPr>
        <w:fldChar w:fldCharType="end"/>
      </w:r>
      <w:r>
        <w:t xml:space="preserve"> is beschreven, vormt het tijdelijk regelingdeel (of, indien er meer tijdelijk regelingdelen zijn: alle tijdelijk regelingdelen) samen met de hoofdregeling de geconsolideerde versie van omgevingsplan of omgevingsverordening.</w:t>
      </w:r>
    </w:p>
    <w:p w14:paraId="4E7A611F" w14:textId="77777777" w:rsidR="00713915" w:rsidRDefault="00713915" w:rsidP="00713915"/>
    <w:p w14:paraId="47ECCF95" w14:textId="772C040B" w:rsidR="00713915" w:rsidRDefault="00713915" w:rsidP="00713915">
      <w:r w:rsidRPr="00AE0435">
        <w:t xml:space="preserve">In deze paragraaf worden de elementen toegelicht die moeten respectievelijk kunnen voorkomen in </w:t>
      </w:r>
      <w:r>
        <w:t>het</w:t>
      </w:r>
      <w:r w:rsidRPr="00AE0435">
        <w:t xml:space="preserve"> </w:t>
      </w:r>
      <w:r>
        <w:t>tijdelijk regelingdeel van het voorbereidingsbesluit,</w:t>
      </w:r>
      <w:r w:rsidRPr="00AE0435">
        <w:t xml:space="preserve"> overeenkomstig het model </w:t>
      </w:r>
      <w:r>
        <w:t>RegelingTijdelijkdeel</w:t>
      </w:r>
      <w:r w:rsidRPr="00AE0435">
        <w:t xml:space="preserve">. Daarbij wordt de nummering van paragraaf </w:t>
      </w:r>
      <w:r w:rsidRPr="00EF065D">
        <w:rPr>
          <w:rStyle w:val="Verwijzing"/>
        </w:rPr>
        <w:fldChar w:fldCharType="begin"/>
      </w:r>
      <w:r w:rsidRPr="00EF065D">
        <w:rPr>
          <w:rStyle w:val="Verwijzing"/>
        </w:rPr>
        <w:instrText xml:space="preserve"> REF _Ref_2c73d989192a0571ec50691571858a9b_2 \r \h </w:instrText>
      </w:r>
      <w:r w:rsidRPr="00EF065D">
        <w:rPr>
          <w:rStyle w:val="Verwijzing"/>
        </w:rPr>
      </w:r>
      <w:r w:rsidRPr="00EF065D">
        <w:rPr>
          <w:rStyle w:val="Verwijzing"/>
        </w:rPr>
        <w:fldChar w:fldCharType="separate"/>
      </w:r>
      <w:r w:rsidR="00D90108" w:rsidRPr="00EF065D">
        <w:rPr>
          <w:rStyle w:val="Verwijzing"/>
        </w:rPr>
        <w:t>4.7.3.1</w:t>
      </w:r>
      <w:r w:rsidRPr="00EF065D">
        <w:rPr>
          <w:rStyle w:val="Verwijzing"/>
        </w:rPr>
        <w:fldChar w:fldCharType="end"/>
      </w:r>
      <w:r w:rsidRPr="00AE0435">
        <w:t xml:space="preserve"> gevolgd. In die paragraaf is van ieder element aangegeven of het moet (verplicht) of mag (optioneel) voorkomen; dat wordt in deze toelichting niet herhaald.</w:t>
      </w:r>
      <w:r>
        <w:t xml:space="preserve"> </w:t>
      </w:r>
      <w:r w:rsidRPr="00F039A0">
        <w:t>De ‘hoofdelementen’ zijn weer vetgedrukt en de ‘subelementen’ schuingedrukt.</w:t>
      </w:r>
    </w:p>
    <w:p w14:paraId="62E4617E" w14:textId="77777777" w:rsidR="00713915" w:rsidRDefault="00713915" w:rsidP="00713915"/>
    <w:p w14:paraId="6E7CFADC" w14:textId="77777777" w:rsidR="00713915" w:rsidRPr="00467426" w:rsidRDefault="00713915" w:rsidP="004E523D">
      <w:pPr>
        <w:pStyle w:val="Opsommingnummers1"/>
        <w:numPr>
          <w:ilvl w:val="0"/>
          <w:numId w:val="31"/>
        </w:numPr>
      </w:pPr>
      <w:r w:rsidRPr="00D25014">
        <w:rPr>
          <w:b/>
          <w:bCs/>
        </w:rPr>
        <w:t>RegelingOpschrift</w:t>
      </w:r>
      <w:r w:rsidRPr="00467426">
        <w:t xml:space="preserve">: de officiële titel van </w:t>
      </w:r>
      <w:r>
        <w:t>het tijdelijk regelingdeel</w:t>
      </w:r>
      <w:r w:rsidRPr="00467426">
        <w:t xml:space="preserve">. </w:t>
      </w:r>
      <w:r>
        <w:t>H</w:t>
      </w:r>
      <w:r w:rsidRPr="003D01B4">
        <w:t xml:space="preserve">et RegelingOpschrift </w:t>
      </w:r>
      <w:r>
        <w:t xml:space="preserve">is </w:t>
      </w:r>
      <w:r w:rsidRPr="003D01B4">
        <w:t>onderdeel van het tijdelijk regelingdeel dat</w:t>
      </w:r>
      <w:r>
        <w:t>,</w:t>
      </w:r>
      <w:r w:rsidRPr="003D01B4">
        <w:t xml:space="preserve"> samen met de hoofdregeling en mogelijk ook andere tijdelijk regelingdelen, </w:t>
      </w:r>
      <w:r>
        <w:t xml:space="preserve">deel gaat uitmaken van </w:t>
      </w:r>
      <w:r w:rsidRPr="003D01B4">
        <w:t xml:space="preserve">de geconsolideerde regeling van het omgevingsplan of de omgevingsverordening. </w:t>
      </w:r>
      <w:r>
        <w:t xml:space="preserve">Het verdient daarom aanbeveling om in het RegelingOpschrift aan te geven waar de voorbeschermingsregels over gaan. </w:t>
      </w:r>
      <w:r w:rsidRPr="00467426">
        <w:t xml:space="preserve">Bijvoorbeeld: </w:t>
      </w:r>
      <w:r>
        <w:t>Voorbeschermingsregels geitenhouderijen</w:t>
      </w:r>
      <w:r w:rsidRPr="00467426">
        <w:t xml:space="preserve">, </w:t>
      </w:r>
      <w:r>
        <w:t>Voorbeschermingsregels hoogspanningsverbinding 380 kV Zuid-West, Voorbeschermingsregels windturbines en provinciale monumenten</w:t>
      </w:r>
      <w:r w:rsidRPr="00467426">
        <w:t>.</w:t>
      </w:r>
    </w:p>
    <w:p w14:paraId="4BB0ACD4" w14:textId="7F167C7E" w:rsidR="00713915" w:rsidRPr="00467426" w:rsidRDefault="00713915" w:rsidP="00713915">
      <w:pPr>
        <w:pStyle w:val="Opsommingnummers1"/>
      </w:pPr>
      <w:r w:rsidRPr="00E03DED">
        <w:rPr>
          <w:b/>
          <w:bCs/>
        </w:rPr>
        <w:t>Lichaam</w:t>
      </w:r>
      <w:r w:rsidRPr="00467426">
        <w:t xml:space="preserve">: </w:t>
      </w:r>
      <w:r>
        <w:t xml:space="preserve">het element dat </w:t>
      </w:r>
      <w:r w:rsidRPr="005015E6">
        <w:t xml:space="preserve">de inhoud van het omgevingsdocument </w:t>
      </w:r>
      <w:r>
        <w:t>bevat.</w:t>
      </w:r>
      <w:r w:rsidRPr="005015E6">
        <w:t xml:space="preserve"> </w:t>
      </w:r>
      <w:r>
        <w:t xml:space="preserve">In het Lichaam van het tijdelijk regelingdeel zijn dat twee onderdelen: de Conditie en de Artikelen met voorbeschermingsregels. </w:t>
      </w:r>
      <w:r>
        <w:br/>
        <w:t xml:space="preserve">De Conditie is het element waarin wordt beschreven wat de relatie is tussen het tijdelijk regelingdeel (met daarin de voorbeschermingsregels) en de hoofdregeling. Zoals in </w:t>
      </w:r>
      <w:r>
        <w:lastRenderedPageBreak/>
        <w:t xml:space="preserve">hoofdstuk </w:t>
      </w:r>
      <w:r w:rsidR="007C67FB" w:rsidRPr="00EF065D">
        <w:rPr>
          <w:rStyle w:val="Verwijzing"/>
        </w:rPr>
        <w:fldChar w:fldCharType="begin"/>
      </w:r>
      <w:r w:rsidR="007C67FB" w:rsidRPr="00EF065D">
        <w:rPr>
          <w:rStyle w:val="Verwijzing"/>
        </w:rPr>
        <w:instrText xml:space="preserve"> REF _Ref_8cc6c3530ceef186c7708a24c1bc5431_1 \n \h </w:instrText>
      </w:r>
      <w:r w:rsidR="007C67FB" w:rsidRPr="00EF065D">
        <w:rPr>
          <w:rStyle w:val="Verwijzing"/>
        </w:rPr>
      </w:r>
      <w:r w:rsidR="007C67FB" w:rsidRPr="00EF065D">
        <w:rPr>
          <w:rStyle w:val="Verwijzing"/>
        </w:rPr>
        <w:fldChar w:fldCharType="separate"/>
      </w:r>
      <w:r w:rsidR="00D90108" w:rsidRPr="00EF065D">
        <w:rPr>
          <w:rStyle w:val="Verwijzing"/>
        </w:rPr>
        <w:t>2</w:t>
      </w:r>
      <w:r w:rsidR="007C67FB" w:rsidRPr="00EF065D">
        <w:rPr>
          <w:rStyle w:val="Verwijzing"/>
        </w:rPr>
        <w:fldChar w:fldCharType="end"/>
      </w:r>
      <w:r>
        <w:t xml:space="preserve"> is beschreven, vormen de </w:t>
      </w:r>
      <w:r w:rsidRPr="00FD26C5">
        <w:t xml:space="preserve">hoofdregeling </w:t>
      </w:r>
      <w:r>
        <w:t xml:space="preserve">en alle daarbij behorende tijdelijk regelingdelen samen de geconsolideerde regeling </w:t>
      </w:r>
      <w:r w:rsidRPr="00FF41C9">
        <w:t>van omgevingsplan of omgevingsverordening</w:t>
      </w:r>
      <w:r>
        <w:t xml:space="preserve">. </w:t>
      </w:r>
      <w:r w:rsidRPr="00CD406C">
        <w:t xml:space="preserve">Het zal vaak voorkomen dat de voorbeschermingsregels afwijken van de regels in de hoofdregeling. </w:t>
      </w:r>
      <w:r>
        <w:t>Dan zal in de Conditie worden beschreven dat het tijdelijk regelingdeel voorrang heeft op de hoofdregeling voor zover het daarvan afwijkt. STOP vereist dat de beschrijving van de relatie wordt opgenomen in een Artikel binnen het element Conditie. Dit Artikel moet, net als alle andere artikelen, worden voorzien van een Kop. In dit specifieke geval bestaat die Kop uitsluitend uit een Opschrift; Label en Nummer komen dus niet voor. Een voorbeeld van het Opschrift van dit Artikel is ‘</w:t>
      </w:r>
      <w:r w:rsidRPr="00F76A70">
        <w:t>Voorrangsbepaling</w:t>
      </w:r>
      <w:r>
        <w:t>’</w:t>
      </w:r>
      <w:r w:rsidRPr="00F76A70">
        <w:t xml:space="preserve">. Het artikel </w:t>
      </w:r>
      <w:r>
        <w:t xml:space="preserve">waarin de tekst van de </w:t>
      </w:r>
      <w:r w:rsidRPr="00F76A70">
        <w:t xml:space="preserve">conditie </w:t>
      </w:r>
      <w:r>
        <w:t xml:space="preserve">staat, </w:t>
      </w:r>
      <w:r w:rsidRPr="00F76A70">
        <w:t xml:space="preserve">wordt niet in </w:t>
      </w:r>
      <w:r>
        <w:t>een structuurelement zoals een H</w:t>
      </w:r>
      <w:r w:rsidRPr="00F76A70">
        <w:t>oofdstuk ondergebracht.</w:t>
      </w:r>
      <w:r>
        <w:br/>
        <w:t xml:space="preserve">Het tweede onderdeel van het Lichaam bestaat uit de Artikelen met voorbeschermingsregels. Voor deze Artikelen gelden </w:t>
      </w:r>
      <w:r w:rsidRPr="005015E6">
        <w:t xml:space="preserve">de specificaties voor de Artikelstructuur </w:t>
      </w:r>
      <w:r>
        <w:t xml:space="preserve">die </w:t>
      </w:r>
      <w:r w:rsidRPr="005015E6">
        <w:t xml:space="preserve">zijn beschreven in paragraaf </w:t>
      </w:r>
      <w:r w:rsidRPr="00EF065D">
        <w:rPr>
          <w:rStyle w:val="Verwijzing"/>
        </w:rPr>
        <w:fldChar w:fldCharType="begin"/>
      </w:r>
      <w:r w:rsidRPr="00EF065D">
        <w:rPr>
          <w:rStyle w:val="Verwijzing"/>
        </w:rPr>
        <w:instrText xml:space="preserve"> REF _Ref_432d415810f845fdd0716b1426f70773_1 \r \h </w:instrText>
      </w:r>
      <w:r w:rsidRPr="00EF065D">
        <w:rPr>
          <w:rStyle w:val="Verwijzing"/>
        </w:rPr>
      </w:r>
      <w:r w:rsidRPr="00EF065D">
        <w:rPr>
          <w:rStyle w:val="Verwijzing"/>
        </w:rPr>
        <w:fldChar w:fldCharType="separate"/>
      </w:r>
      <w:r w:rsidR="00D90108" w:rsidRPr="00EF065D">
        <w:rPr>
          <w:rStyle w:val="Verwijzing"/>
        </w:rPr>
        <w:t>5.2</w:t>
      </w:r>
      <w:r w:rsidRPr="00EF065D">
        <w:rPr>
          <w:rStyle w:val="Verwijzing"/>
        </w:rPr>
        <w:fldChar w:fldCharType="end"/>
      </w:r>
      <w:r w:rsidRPr="005015E6">
        <w:t xml:space="preserve">. </w:t>
      </w:r>
      <w:r>
        <w:t xml:space="preserve">Zoals daar is beschreven kunnen artikelen zijn opgenomen in een hiërarchische structuur, bestaande uit Hoofdstukken en andere structuurelementen. </w:t>
      </w:r>
      <w:r w:rsidRPr="0016736E">
        <w:t xml:space="preserve">In het geval van </w:t>
      </w:r>
      <w:r>
        <w:t xml:space="preserve">het voorbereidingsbesluit </w:t>
      </w:r>
      <w:r w:rsidRPr="0016736E">
        <w:t>is het verplicht de artikelen in een of meer hoofdstukken te plaatsen.</w:t>
      </w:r>
      <w:r>
        <w:br/>
        <w:t xml:space="preserve">Deze Artikelen </w:t>
      </w:r>
      <w:r w:rsidRPr="005015E6">
        <w:t>word</w:t>
      </w:r>
      <w:r>
        <w:t>en</w:t>
      </w:r>
      <w:r w:rsidRPr="005015E6">
        <w:t xml:space="preserve"> geannoteerd met</w:t>
      </w:r>
      <w:r>
        <w:t xml:space="preserve"> de</w:t>
      </w:r>
      <w:r w:rsidRPr="005015E6">
        <w:t xml:space="preserve"> IMOW-objecten</w:t>
      </w:r>
      <w:r>
        <w:t xml:space="preserve">. Het annoteren met IMOW-objecten is </w:t>
      </w:r>
      <w:r w:rsidRPr="005015E6">
        <w:t xml:space="preserve">beschreven in hoofdstuk </w:t>
      </w:r>
      <w:r w:rsidR="00DA1FB2" w:rsidRPr="00EF065D">
        <w:rPr>
          <w:rStyle w:val="Verwijzing"/>
        </w:rPr>
        <w:fldChar w:fldCharType="begin"/>
      </w:r>
      <w:r w:rsidR="00DA1FB2" w:rsidRPr="00EF065D">
        <w:rPr>
          <w:rStyle w:val="Verwijzing"/>
        </w:rPr>
        <w:instrText xml:space="preserve"> REF _Ref_e3bd8998bf9d2c1db6cef91a8d0d0285_1 \n \h </w:instrText>
      </w:r>
      <w:r w:rsidR="00DA1FB2" w:rsidRPr="00EF065D">
        <w:rPr>
          <w:rStyle w:val="Verwijzing"/>
        </w:rPr>
      </w:r>
      <w:r w:rsidR="00DA1FB2" w:rsidRPr="00EF065D">
        <w:rPr>
          <w:rStyle w:val="Verwijzing"/>
        </w:rPr>
        <w:fldChar w:fldCharType="separate"/>
      </w:r>
      <w:r w:rsidR="00D90108" w:rsidRPr="00EF065D">
        <w:rPr>
          <w:rStyle w:val="Verwijzing"/>
        </w:rPr>
        <w:t>6</w:t>
      </w:r>
      <w:r w:rsidR="00DA1FB2" w:rsidRPr="00EF065D">
        <w:rPr>
          <w:rStyle w:val="Verwijzing"/>
        </w:rPr>
        <w:fldChar w:fldCharType="end"/>
      </w:r>
      <w:r>
        <w:t xml:space="preserve"> en in de Toepassingsprofielen voor omgevingsverordening en omgevingsplan</w:t>
      </w:r>
      <w:r w:rsidRPr="005015E6">
        <w:t>.</w:t>
      </w:r>
      <w:r>
        <w:br/>
        <w:t xml:space="preserve">Een uitgebreide toelichting op het tijdelijk regelingdeel staat in paragraaf </w:t>
      </w:r>
      <w:r w:rsidR="00DA1FB2" w:rsidRPr="00EF065D">
        <w:rPr>
          <w:rStyle w:val="Verwijzing"/>
        </w:rPr>
        <w:fldChar w:fldCharType="begin"/>
      </w:r>
      <w:r w:rsidR="00DA1FB2" w:rsidRPr="00EF065D">
        <w:rPr>
          <w:rStyle w:val="Verwijzing"/>
        </w:rPr>
        <w:instrText xml:space="preserve"> REF _Ref_bc948fa8e869efd80ed9e55a6515812b_2 \n \h </w:instrText>
      </w:r>
      <w:r w:rsidR="00DA1FB2" w:rsidRPr="00EF065D">
        <w:rPr>
          <w:rStyle w:val="Verwijzing"/>
        </w:rPr>
      </w:r>
      <w:r w:rsidR="00DA1FB2" w:rsidRPr="00EF065D">
        <w:rPr>
          <w:rStyle w:val="Verwijzing"/>
        </w:rPr>
        <w:fldChar w:fldCharType="separate"/>
      </w:r>
      <w:r w:rsidR="00D90108" w:rsidRPr="00EF065D">
        <w:rPr>
          <w:rStyle w:val="Verwijzing"/>
        </w:rPr>
        <w:t>2.3</w:t>
      </w:r>
      <w:r w:rsidR="00DA1FB2" w:rsidRPr="00EF065D">
        <w:rPr>
          <w:rStyle w:val="Verwijzing"/>
        </w:rPr>
        <w:fldChar w:fldCharType="end"/>
      </w:r>
      <w:r>
        <w:t>.</w:t>
      </w:r>
    </w:p>
    <w:p w14:paraId="53E311DD" w14:textId="59F07958" w:rsidR="00713915" w:rsidRDefault="00713915" w:rsidP="00713915">
      <w:pPr>
        <w:pStyle w:val="Opsommingnummers1"/>
      </w:pPr>
      <w:r w:rsidRPr="009A4D4E">
        <w:rPr>
          <w:b/>
          <w:bCs/>
        </w:rPr>
        <w:t>Bijlage</w:t>
      </w:r>
      <w:r>
        <w:t xml:space="preserve">: </w:t>
      </w:r>
      <w:r w:rsidRPr="004D4696">
        <w:t xml:space="preserve">het gaat hier om een Bijlage bij </w:t>
      </w:r>
      <w:r>
        <w:t>het tijdelijk regelingdeel. Dit is</w:t>
      </w:r>
      <w:r w:rsidRPr="004D4696">
        <w:t xml:space="preserve"> een bijlage die</w:t>
      </w:r>
      <w:r>
        <w:t xml:space="preserve"> informatie bevat die </w:t>
      </w:r>
      <w:r w:rsidRPr="00547C4F">
        <w:t xml:space="preserve">onderdeel </w:t>
      </w:r>
      <w:r>
        <w:t>is</w:t>
      </w:r>
      <w:r w:rsidRPr="00547C4F">
        <w:t xml:space="preserve"> van </w:t>
      </w:r>
      <w:r>
        <w:t xml:space="preserve">het omgevingsdocument maar om redenen van </w:t>
      </w:r>
      <w:r w:rsidRPr="00A07F52">
        <w:t>leesbaarheid en</w:t>
      </w:r>
      <w:r>
        <w:t>/of</w:t>
      </w:r>
      <w:r w:rsidRPr="00A07F52">
        <w:t xml:space="preserve"> vormgeving (denk aan lange lijsten en complexe tabellen)</w:t>
      </w:r>
      <w:r>
        <w:t xml:space="preserve"> niet goed in de artikelen met voorbeschermingsregels kan worden opgenomen. </w:t>
      </w:r>
      <w:r w:rsidRPr="00A761B2">
        <w:t xml:space="preserve">Er kunnen zoveel bijlagen bij </w:t>
      </w:r>
      <w:r>
        <w:t xml:space="preserve">de Regeling </w:t>
      </w:r>
      <w:r w:rsidRPr="00A761B2">
        <w:t xml:space="preserve">worden gevoegd als nodig is. </w:t>
      </w:r>
      <w:r>
        <w:t xml:space="preserve">Een voorbeeld is de bijlage met verwijzingen naar de (elders gepubliceerde) </w:t>
      </w:r>
      <w:r w:rsidR="00D44198">
        <w:t>GIO’s</w:t>
      </w:r>
      <w:r>
        <w:t>. Bijlagen bij het tijdelijk regelingdeel worden bekendgemaakt én geconsolideerd. Deze bijlagen zijn dus zowel te vinden op officielebekendmakingen.nl als in de regelingenbank op overheid.nl en in DSO-LV.</w:t>
      </w:r>
      <w:r>
        <w:br/>
        <w:t xml:space="preserve">Bijlagen worden gepubliceerd als onderdeel van de tekst in STOP-XML of als </w:t>
      </w:r>
      <w:r w:rsidRPr="00A142C1">
        <w:t>document-</w:t>
      </w:r>
      <w:r>
        <w:t xml:space="preserve">informatieobject. Als de bijlage onderdeel is van de tekst in STOP-XML, staat de inhoud in een of meer Divisieteksten, die desgewenst hiërarchisch kunnen worden gestructureerd in Divisies. Deze elementen van de Vrijetekststructuur en hun specificaties zijn beschreven in paragraaf </w:t>
      </w:r>
      <w:r w:rsidRPr="00EF065D">
        <w:rPr>
          <w:rStyle w:val="Verwijzing"/>
        </w:rPr>
        <w:fldChar w:fldCharType="begin"/>
      </w:r>
      <w:r w:rsidRPr="00EF065D">
        <w:rPr>
          <w:rStyle w:val="Verwijzing"/>
        </w:rPr>
        <w:instrText xml:space="preserve"> REF _Ref_9c2c0953ad5bb5277dfc1cacb1f267c1_2 \r \h </w:instrText>
      </w:r>
      <w:r w:rsidRPr="00EF065D">
        <w:rPr>
          <w:rStyle w:val="Verwijzing"/>
        </w:rPr>
      </w:r>
      <w:r w:rsidRPr="00EF065D">
        <w:rPr>
          <w:rStyle w:val="Verwijzing"/>
        </w:rPr>
        <w:fldChar w:fldCharType="separate"/>
      </w:r>
      <w:r w:rsidR="00D90108" w:rsidRPr="00EF065D">
        <w:rPr>
          <w:rStyle w:val="Verwijzing"/>
        </w:rPr>
        <w:t>5.2.2.2</w:t>
      </w:r>
      <w:r w:rsidRPr="00EF065D">
        <w:rPr>
          <w:rStyle w:val="Verwijzing"/>
        </w:rPr>
        <w:fldChar w:fldCharType="end"/>
      </w:r>
      <w:r>
        <w:t xml:space="preserve">. Een bijlage die niet in XML via het STOP-model gecodeerd kan worden, wordt gepubliceerd als document-informatieobject, (vooralsnog) in PDF-formaat. Een beschrijving van beide publicatiemogelijkheden voor bijlagen staat in paragraaf </w:t>
      </w:r>
      <w:r w:rsidR="00DA1157" w:rsidRPr="00EF065D">
        <w:rPr>
          <w:rStyle w:val="Verwijzing"/>
        </w:rPr>
        <w:fldChar w:fldCharType="begin"/>
      </w:r>
      <w:r w:rsidR="00DA1157" w:rsidRPr="00EF065D">
        <w:rPr>
          <w:rStyle w:val="Verwijzing"/>
        </w:rPr>
        <w:instrText xml:space="preserve"> REF _Ref_fab369464ffdb76801f7c98aceb78e50_1 \n \h </w:instrText>
      </w:r>
      <w:r w:rsidR="00DA1157" w:rsidRPr="00EF065D">
        <w:rPr>
          <w:rStyle w:val="Verwijzing"/>
        </w:rPr>
      </w:r>
      <w:r w:rsidR="00DA1157" w:rsidRPr="00EF065D">
        <w:rPr>
          <w:rStyle w:val="Verwijzing"/>
        </w:rPr>
        <w:fldChar w:fldCharType="separate"/>
      </w:r>
      <w:r w:rsidR="00D90108" w:rsidRPr="00EF065D">
        <w:rPr>
          <w:rStyle w:val="Verwijzing"/>
        </w:rPr>
        <w:t>5.4</w:t>
      </w:r>
      <w:r w:rsidR="00DA1157" w:rsidRPr="00EF065D">
        <w:rPr>
          <w:rStyle w:val="Verwijzing"/>
        </w:rPr>
        <w:fldChar w:fldCharType="end"/>
      </w:r>
      <w:r>
        <w:t xml:space="preserve">. </w:t>
      </w:r>
      <w:r>
        <w:br/>
      </w:r>
      <w:r w:rsidRPr="00A3156C">
        <w:t xml:space="preserve">In </w:t>
      </w:r>
      <w:r>
        <w:t xml:space="preserve">een </w:t>
      </w:r>
      <w:r w:rsidRPr="00A3156C">
        <w:t xml:space="preserve">Bijlage </w:t>
      </w:r>
      <w:r w:rsidRPr="008C2D17">
        <w:t xml:space="preserve">bij de Regeling </w:t>
      </w:r>
      <w:r w:rsidRPr="00A3156C">
        <w:t xml:space="preserve">kan het </w:t>
      </w:r>
      <w:r>
        <w:t>e</w:t>
      </w:r>
      <w:r w:rsidRPr="00A3156C">
        <w:t>lement Gereserveerd</w:t>
      </w:r>
      <w:r>
        <w:t xml:space="preserve"> worden gebruikt.</w:t>
      </w:r>
      <w:r w:rsidRPr="00A3156C">
        <w:t xml:space="preserve"> Dit element maakt het mogelijk om alvast een structuur neer te zetten die is voorbereid op toekomstige aanvullingen</w:t>
      </w:r>
      <w:r>
        <w:t>.</w:t>
      </w:r>
      <w:r w:rsidRPr="00A3156C">
        <w:t xml:space="preserve"> </w:t>
      </w:r>
      <w:r>
        <w:t>Het is een</w:t>
      </w:r>
      <w:r w:rsidRPr="00727823">
        <w:t xml:space="preserve"> leeg element waarmee bij weergave op overheid.nl </w:t>
      </w:r>
      <w:r>
        <w:t xml:space="preserve">en in DSO-LV </w:t>
      </w:r>
      <w:r w:rsidRPr="00727823">
        <w:t xml:space="preserve">de tekst ‘Gereserveerd’ wordt gegenereerd. </w:t>
      </w:r>
      <w:r>
        <w:t>H</w:t>
      </w:r>
      <w:r w:rsidRPr="00A3156C">
        <w:t>et bevoegd gezag kan het element niet zelf vullen met eigen tekst. Met latere wijzigingsbesluiten kan het element Gereserveerd worden vervangen door een structuurelement met daadwerkelijke inhoud.</w:t>
      </w:r>
      <w:r>
        <w:t xml:space="preserve"> </w:t>
      </w:r>
      <w:r>
        <w:br/>
        <w:t xml:space="preserve">Wanneer een bijlage vervalt kan in het element Bijlage het element Vervallen worden opgenomen. Op deze manier blijft zichtbaar dat er een bijlage was en dat die later is vervallen. Het voordeel daarvan is dat in de wetstechnische informatie de historie van het element kan worden teruggevonden. Een andere mogelijkheid bij het vervallen van een bijlage is om het element Bijlage met een wijzigingsbesluit te verwijderen. Dan is het element niet langer zichtbaar en is er ook geen </w:t>
      </w:r>
      <w:r w:rsidRPr="00E252D7">
        <w:t>wetstechnische informatie</w:t>
      </w:r>
      <w:r>
        <w:t xml:space="preserve"> meer.</w:t>
      </w:r>
      <w:r>
        <w:br/>
        <w:t xml:space="preserve">Een Bijlage kan worden afgesloten met het element Sluiting. Van die mogelijkheid zal </w:t>
      </w:r>
      <w:r>
        <w:lastRenderedPageBreak/>
        <w:t xml:space="preserve">naar verwachting niet vaak gebruik gemaakt worden. </w:t>
      </w:r>
      <w:r w:rsidRPr="0085686E">
        <w:t>Een Bijlage wordt niet geannoteerd met IMOW-objecten.</w:t>
      </w:r>
    </w:p>
    <w:p w14:paraId="493124C0" w14:textId="77777777" w:rsidR="00713915" w:rsidRPr="00B64D21" w:rsidRDefault="00713915" w:rsidP="00713915">
      <w:pPr>
        <w:pStyle w:val="Opsommingnummers1"/>
      </w:pPr>
      <w:r w:rsidRPr="00B64D21">
        <w:rPr>
          <w:b/>
          <w:bCs/>
        </w:rPr>
        <w:t>Toelichting</w:t>
      </w:r>
      <w:r w:rsidRPr="00B64D21">
        <w:t xml:space="preserve">: de Toelichting op </w:t>
      </w:r>
      <w:r>
        <w:t>het tijdelijk regelingdeel</w:t>
      </w:r>
      <w:r w:rsidRPr="00B64D21">
        <w:t xml:space="preserve">. STOP biedt voor toelichtingen </w:t>
      </w:r>
      <w:r>
        <w:t>een aantal</w:t>
      </w:r>
      <w:r w:rsidRPr="00B64D21">
        <w:t xml:space="preserve"> keuzemogelijkheden:</w:t>
      </w:r>
    </w:p>
    <w:p w14:paraId="7D5BAEF1" w14:textId="77777777" w:rsidR="00713915" w:rsidRPr="00B64D21" w:rsidRDefault="00713915" w:rsidP="00713915">
      <w:pPr>
        <w:pStyle w:val="Opsommingtekens2"/>
      </w:pPr>
      <w:r w:rsidRPr="00B64D21">
        <w:t>De</w:t>
      </w:r>
      <w:r>
        <w:t xml:space="preserve"> eerste</w:t>
      </w:r>
      <w:r w:rsidRPr="00B64D21">
        <w:t xml:space="preserve"> keuze is die tussen de ‘hoofdelementen’ Toelichting en ArtikelgewijzeToelichting:</w:t>
      </w:r>
    </w:p>
    <w:p w14:paraId="4153418C" w14:textId="77777777" w:rsidR="00713915" w:rsidRPr="00A8274D" w:rsidRDefault="00713915" w:rsidP="00713915">
      <w:pPr>
        <w:pStyle w:val="Opsommingtekens3"/>
      </w:pPr>
      <w:r w:rsidRPr="00A8274D">
        <w:t xml:space="preserve">Toelichting: kies voor </w:t>
      </w:r>
      <w:r w:rsidRPr="00743894">
        <w:t xml:space="preserve">het ‘hoofdelement’ </w:t>
      </w:r>
      <w:r w:rsidRPr="00A8274D">
        <w:t>Toelichting als er alleen een algemene toelichting is of als de toelichting zowel een algemeen deel als een artikelsgewijs deel heeft.</w:t>
      </w:r>
    </w:p>
    <w:p w14:paraId="32066436" w14:textId="77777777" w:rsidR="00713915" w:rsidRPr="00B64D21" w:rsidRDefault="00713915" w:rsidP="00713915">
      <w:pPr>
        <w:pStyle w:val="Opsommingtekens3"/>
      </w:pPr>
      <w:r w:rsidRPr="00B64D21">
        <w:t>ArtikelgewijzeToelichting: kies het ‘hoofdelement’ ArtikelgewijzeToelichting als er bij de Regeling alleen een artikelsgewijze toelichting is. Dit ‘hoofdelement’ wordt hierna beschreven, zie nr. 5.</w:t>
      </w:r>
    </w:p>
    <w:p w14:paraId="3A3F48FB" w14:textId="77777777" w:rsidR="00713915" w:rsidRPr="00B64D21" w:rsidRDefault="00713915" w:rsidP="00713915">
      <w:pPr>
        <w:pStyle w:val="Opsommingtekens2"/>
      </w:pPr>
      <w:r>
        <w:t xml:space="preserve">Wanneer </w:t>
      </w:r>
      <w:r w:rsidRPr="00B64D21">
        <w:t>is gekozen voor het ‘hoofdelement’ Toelichting is er een vervolgkeuze:</w:t>
      </w:r>
    </w:p>
    <w:p w14:paraId="28DF8519" w14:textId="77777777" w:rsidR="00713915" w:rsidRPr="00B64D21" w:rsidRDefault="00713915" w:rsidP="00713915">
      <w:pPr>
        <w:pStyle w:val="Opsommingtekens3"/>
      </w:pPr>
      <w:r w:rsidRPr="00B64D21">
        <w:t>Er is alleen een algemene toelichting</w:t>
      </w:r>
      <w:r w:rsidRPr="00B64D21">
        <w:br/>
        <w:t>In dit geval is er nog een keuze tussen:</w:t>
      </w:r>
    </w:p>
    <w:p w14:paraId="2201E79A" w14:textId="77777777" w:rsidR="00713915" w:rsidRPr="00B64D21" w:rsidRDefault="00713915" w:rsidP="00713915">
      <w:pPr>
        <w:pStyle w:val="Opsommingtekens4"/>
      </w:pPr>
      <w:r w:rsidRPr="00B64D21">
        <w:t xml:space="preserve">Een </w:t>
      </w:r>
      <w:r>
        <w:t>meer</w:t>
      </w:r>
      <w:r w:rsidRPr="00B64D21">
        <w:t xml:space="preserve"> gestructureerde opzet</w:t>
      </w:r>
      <w:r w:rsidRPr="00B64D21">
        <w:br/>
        <w:t>Deze opzet wordt gekozen wanneer de opsteller machineleesbaar wil maken dat sprake is van een toelichting van algemene aard. Dan wordt</w:t>
      </w:r>
      <w:r>
        <w:t>, binnen het element Toelichting,</w:t>
      </w:r>
      <w:r w:rsidRPr="00B64D21">
        <w:t xml:space="preserve"> het element AlgemeneToelichting </w:t>
      </w:r>
      <w:r>
        <w:t>toegevoegd</w:t>
      </w:r>
      <w:r w:rsidRPr="00B64D21">
        <w:t>. Binnen dit element staat de inhoud van de toelichting in een of meer Divisieteksten, die desgewenst hiërarchisch kunnen worden gestructureerd in Divisies.</w:t>
      </w:r>
    </w:p>
    <w:p w14:paraId="3E1EB86A" w14:textId="77777777" w:rsidR="00713915" w:rsidRPr="00B64D21" w:rsidRDefault="00713915" w:rsidP="00713915">
      <w:pPr>
        <w:pStyle w:val="Opsommingtekens4"/>
      </w:pPr>
      <w:r w:rsidRPr="00B64D21">
        <w:t xml:space="preserve">Een </w:t>
      </w:r>
      <w:r w:rsidRPr="003A1382">
        <w:t xml:space="preserve">vrijere </w:t>
      </w:r>
      <w:r w:rsidRPr="00B64D21">
        <w:t>opzet</w:t>
      </w:r>
      <w:r w:rsidRPr="00B64D21">
        <w:br/>
        <w:t xml:space="preserve">Deze opzet wordt gekozen wanneer de opsteller het niet </w:t>
      </w:r>
      <w:r>
        <w:t xml:space="preserve">noodzakelijk </w:t>
      </w:r>
      <w:r w:rsidRPr="00B64D21">
        <w:t>vindt dat machineleesbaar is dat sprake is van een toelichting van algemene aard. In dat geval plaatst de opsteller de inhoud van de toelichting in een of meer Divisieteksten rechtstreeks onder het element Toelichting. De Divisieteksten kunnen desgewenst hiërarchisch worden gestructureerd in Divisies.</w:t>
      </w:r>
    </w:p>
    <w:p w14:paraId="3B95A090" w14:textId="77777777" w:rsidR="00713915" w:rsidRPr="00B64D21" w:rsidRDefault="00713915" w:rsidP="00713915">
      <w:pPr>
        <w:pStyle w:val="Opsommingtekens3"/>
      </w:pPr>
      <w:r w:rsidRPr="00B64D21">
        <w:t>De toelichting heeft zowel een algemeen deel als een artikelsgewijs deel</w:t>
      </w:r>
      <w:r w:rsidRPr="00B64D21">
        <w:br/>
        <w:t xml:space="preserve">Voor dit type toelichting moeten de elementen AlgemeneToelichting en ArtikelgewijzeToelichting worden gebruikt. Binnen die elementen staat de inhoud van de </w:t>
      </w:r>
      <w:r>
        <w:t xml:space="preserve">betreffende </w:t>
      </w:r>
      <w:r w:rsidRPr="00B64D21">
        <w:t>toelichting in een of meer Divisieteksten, die desgewenst hiërarchisch kunnen worden gestructureerd in Divisies.</w:t>
      </w:r>
    </w:p>
    <w:p w14:paraId="1368A793" w14:textId="224D227B" w:rsidR="00030D6F" w:rsidRDefault="00713915" w:rsidP="00713915">
      <w:pPr>
        <w:pStyle w:val="Opsommingtekens2"/>
        <w:numPr>
          <w:ilvl w:val="0"/>
          <w:numId w:val="0"/>
        </w:numPr>
        <w:ind w:left="284"/>
      </w:pPr>
      <w:r w:rsidRPr="00951F48">
        <w:t>Let op dat de hier besproken algemene toelichting een algemene toelichting geeft op de hele regeling en niet op een besluit.</w:t>
      </w:r>
      <w:r>
        <w:br/>
      </w:r>
      <w:r w:rsidRPr="00292E56">
        <w:t>Een Toelichting kan worden afgesloten met het element Sluiting. Van die mogelijkheid zal naar verwachting niet vaak gebruik gemaakt worden.</w:t>
      </w:r>
      <w:r>
        <w:t xml:space="preserve"> Aan een Toelichting kunnen een of meer Bijlagen worden toegevoegd.</w:t>
      </w:r>
      <w:r>
        <w:br/>
      </w:r>
      <w:r w:rsidRPr="00B64D21">
        <w:t xml:space="preserve">Een Toelichting bij </w:t>
      </w:r>
      <w:r>
        <w:t xml:space="preserve">het tijdelijk regelingdeel </w:t>
      </w:r>
      <w:r w:rsidRPr="00B64D21">
        <w:t>wordt bekendgemaakt én geconsolideerd. Deze toelichting is dus zowel te vinden op officielebekendmakingen.nl als in de regelingenbank op overheid.nl en</w:t>
      </w:r>
      <w:r w:rsidRPr="00C34880">
        <w:t xml:space="preserve"> in DSO-LV.</w:t>
      </w:r>
      <w:r>
        <w:t xml:space="preserve"> </w:t>
      </w:r>
      <w:r w:rsidRPr="001B648A">
        <w:t>Een Toelichting wordt niet geannoteerd met IMOW-objecten.</w:t>
      </w:r>
    </w:p>
    <w:p w14:paraId="2F0827EF" w14:textId="30F16E6C" w:rsidR="00713915" w:rsidRPr="00467426" w:rsidRDefault="00713915" w:rsidP="00713915">
      <w:pPr>
        <w:pStyle w:val="Opsommingnummers1"/>
      </w:pPr>
      <w:r w:rsidRPr="00467426">
        <w:rPr>
          <w:b/>
          <w:bCs/>
        </w:rPr>
        <w:t>ArtikelgewijzeToelichting</w:t>
      </w:r>
      <w:r>
        <w:t xml:space="preserve">: </w:t>
      </w:r>
      <w:r w:rsidRPr="00B73FF0">
        <w:t xml:space="preserve">het gaat hier om een </w:t>
      </w:r>
      <w:r>
        <w:t>Artikelgewijze</w:t>
      </w:r>
      <w:r w:rsidRPr="00B73FF0">
        <w:t xml:space="preserve">Toelichting bij </w:t>
      </w:r>
      <w:r>
        <w:t>het tijdelijk regelingdeel</w:t>
      </w:r>
      <w:r w:rsidRPr="00B73FF0">
        <w:t>.</w:t>
      </w:r>
      <w:r>
        <w:t xml:space="preserve"> Dit element moet worden gebruikt </w:t>
      </w:r>
      <w:r w:rsidRPr="000F50EF">
        <w:t xml:space="preserve">als er bij </w:t>
      </w:r>
      <w:r w:rsidRPr="00C978D3">
        <w:t>het tijdelijk regelingdeel</w:t>
      </w:r>
      <w:r w:rsidRPr="000F50EF">
        <w:t xml:space="preserve"> alleen een artikelsgewijze toelichting is. </w:t>
      </w:r>
      <w:r>
        <w:t xml:space="preserve">Zie ook de beschrijving van de eerste keuzemogelijkheid bij nr. 4. </w:t>
      </w:r>
      <w:r w:rsidRPr="009C26EF">
        <w:t xml:space="preserve">Binnen </w:t>
      </w:r>
      <w:r>
        <w:t xml:space="preserve">het </w:t>
      </w:r>
      <w:r w:rsidRPr="009C26EF">
        <w:t xml:space="preserve">element ArtikelgewijzeToelichting staat de inhoud van de </w:t>
      </w:r>
      <w:r>
        <w:t xml:space="preserve">artikelsgewijze </w:t>
      </w:r>
      <w:r w:rsidRPr="009C26EF">
        <w:t>toelichting in een of meer Divisieteksten, die desgewenst hiërarchisch kunnen worden gestructureerd in Divisies.</w:t>
      </w:r>
      <w:r>
        <w:br/>
      </w:r>
      <w:r w:rsidRPr="00B213E7">
        <w:t xml:space="preserve">De </w:t>
      </w:r>
      <w:r>
        <w:t>Artikelgewijze</w:t>
      </w:r>
      <w:r w:rsidRPr="00B213E7">
        <w:t xml:space="preserve">Toelichting bij </w:t>
      </w:r>
      <w:r>
        <w:t xml:space="preserve">het tijdelijk regelingdeel </w:t>
      </w:r>
      <w:r w:rsidRPr="00B213E7">
        <w:t xml:space="preserve">wordt bekendgemaakt én geconsolideerd. Deze </w:t>
      </w:r>
      <w:r>
        <w:t xml:space="preserve">artikelsgewijze </w:t>
      </w:r>
      <w:r w:rsidRPr="00B213E7">
        <w:t xml:space="preserve">toelichting is dus zowel te vinden op </w:t>
      </w:r>
      <w:r w:rsidRPr="00B213E7">
        <w:lastRenderedPageBreak/>
        <w:t>officielebekendmakingen.nl als in de regelingenbank op overheid.nl en in DSO-LV.</w:t>
      </w:r>
      <w:r>
        <w:t xml:space="preserve"> </w:t>
      </w:r>
      <w:r w:rsidRPr="00907FCB">
        <w:t>Een ArtikelgewijzeToelichting wordt niet geannoteerd met IMOW-objecten.</w:t>
      </w:r>
    </w:p>
    <w:p w14:paraId="66F0BA63" w14:textId="77777777" w:rsidR="00713915" w:rsidRDefault="00713915" w:rsidP="00713915"/>
    <w:p w14:paraId="3C2B5B81" w14:textId="62730842" w:rsidR="00713915" w:rsidRDefault="00713915" w:rsidP="00713915">
      <w:r w:rsidRPr="000B5C9F">
        <w:t>Veel van de hiervoor besproken elementen moeten worden voorzien van een Kop. Voor de Kop zijn de Kopelementen Label, Nummer en Opschrift beschikbaar. Label is de aanduiding van het type tekstelement, zoals Hoofdstuk, Paragraaf of Artikel. Opschrift is de titel van het tekstelement, die aangeeft waar de tekst over gaat.</w:t>
      </w:r>
      <w:r>
        <w:t xml:space="preserve"> Voor de Koppen in de artikelen met voorbeschermingsregels in </w:t>
      </w:r>
      <w:r w:rsidRPr="00755F44">
        <w:t xml:space="preserve">het tijdelijk regelingdeel </w:t>
      </w:r>
      <w:r>
        <w:t xml:space="preserve">gelden extra eisen, die zijn beschreven in </w:t>
      </w:r>
      <w:r w:rsidR="001201F7">
        <w:t>het toepassingsprofiel voor het omgevingsplan respectievelijk voor de omgevingsverordening</w:t>
      </w:r>
      <w:r>
        <w:t>.</w:t>
      </w:r>
    </w:p>
    <w:p w14:paraId="66624126" w14:textId="77777777" w:rsidR="00713915" w:rsidRPr="00865A86" w:rsidRDefault="00713915" w:rsidP="00713915">
      <w:r w:rsidRPr="001813B1">
        <w:t>In de schema’s van STOP komt in een aantal hoofd- en subelementen het element InleidendeTekst -bedoeld voor niet-juridische contextinformatie- voor. In de STOP-documentatie wordt het gebruik van dit element ontraden. Daarom is dit element hier niet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