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441" w:name="_Ref_b3c52551d4a6da6431769d8c3d9fcab8_1"/>
      <w:r>
        <w:t>Toelichting</w:t>
      </w:r>
      <w:bookmarkEnd w:id="441"/>
    </w:p>
    <w:p w14:paraId="17021362" w14:textId="0122C0E3" w:rsidR="00713915" w:rsidRDefault="00713915" w:rsidP="00713915">
      <w:r w:rsidRPr="00446D75">
        <w:t xml:space="preserve">RegelingTijdelijkdeel is het model dat een bevoegd gezag moet gebruiken </w:t>
      </w:r>
      <w:r>
        <w:t>voor de 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EF065D">
        <w:rPr>
          <w:rStyle w:val="Verwijzing"/>
        </w:rPr>
        <w:fldChar w:fldCharType="begin"/>
      </w:r>
      <w:r w:rsidR="00D30B96" w:rsidRPr="00EF065D">
        <w:rPr>
          <w:rStyle w:val="Verwijzing"/>
        </w:rPr>
        <w:instrText xml:space="preserve"> REF _Ref_8cc6c3530ceef186c7708a24c1bc5431_1 \n \h </w:instrText>
      </w:r>
      <w:r w:rsidR="00D30B96" w:rsidRPr="00EF065D">
        <w:rPr>
          <w:rStyle w:val="Verwijzing"/>
        </w:rPr>
      </w:r>
      <w:r w:rsidR="00D30B96" w:rsidRPr="00EF065D">
        <w:rPr>
          <w:rStyle w:val="Verwijzing"/>
        </w:rPr>
        <w:fldChar w:fldCharType="separate"/>
      </w:r>
      <w:r w:rsidR="00D90108" w:rsidRPr="00EF065D">
        <w:rPr>
          <w:rStyle w:val="Verwijzing"/>
        </w:rPr>
        <w:t>2</w:t>
      </w:r>
      <w:r w:rsidR="00D30B96" w:rsidRPr="00EF065D">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49C179EC" w14:textId="34B87D1B" w:rsidR="00713915"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Daarbij wordt de nummering van paragraaf </w:t>
      </w:r>
      <w:r w:rsidRPr="00EF065D">
        <w:rPr>
          <w:rStyle w:val="Verwijzing"/>
        </w:rPr>
        <w:fldChar w:fldCharType="begin"/>
      </w:r>
      <w:r w:rsidRPr="00EF065D">
        <w:rPr>
          <w:rStyle w:val="Verwijzing"/>
        </w:rPr>
        <w:instrText xml:space="preserve"> REF _Ref_79118f64c481fe34044de7aa41471cf6_2 \r \h </w:instrText>
      </w:r>
      <w:r w:rsidRPr="00EF065D">
        <w:rPr>
          <w:rStyle w:val="Verwijzing"/>
        </w:rPr>
      </w:r>
      <w:r w:rsidRPr="00EF065D">
        <w:rPr>
          <w:rStyle w:val="Verwijzing"/>
        </w:rPr>
        <w:fldChar w:fldCharType="separate"/>
      </w:r>
      <w:r w:rsidR="00D90108" w:rsidRPr="00EF065D">
        <w:rPr>
          <w:rStyle w:val="Verwijzing"/>
        </w:rPr>
        <w:t>4.8.3.1</w:t>
      </w:r>
      <w:r w:rsidRPr="00EF065D">
        <w:rPr>
          <w:rStyle w:val="Verwijzing"/>
        </w:rPr>
        <w:fldChar w:fldCharType="end"/>
      </w:r>
      <w:r w:rsidRPr="00AE0435">
        <w:t xml:space="preserve"> gevolgd. In die paragraaf is van ieder element aangegeven of het moet (verplicht) of mag (optioneel) voorkomen; dat wordt in deze toelichting niet herhaald.</w:t>
      </w:r>
    </w:p>
    <w:p w14:paraId="1E6F247C" w14:textId="77777777" w:rsidR="00713915" w:rsidRDefault="00713915" w:rsidP="00713915"/>
    <w:p w14:paraId="28D7630B" w14:textId="77777777" w:rsidR="00713915" w:rsidRPr="00467426" w:rsidRDefault="00713915" w:rsidP="004E523D">
      <w:pPr>
        <w:pStyle w:val="Opsommingnummers1"/>
        <w:numPr>
          <w:ilvl w:val="0"/>
          <w:numId w:val="35"/>
        </w:numPr>
      </w:pPr>
      <w:r w:rsidRPr="00D25014">
        <w:rPr>
          <w:b/>
          <w:bCs/>
        </w:rPr>
        <w:t>RegelingOpschrift</w:t>
      </w:r>
      <w:r w:rsidRPr="00467426">
        <w:t xml:space="preserve">: de officiële titel van </w:t>
      </w:r>
      <w:r>
        <w:t>het tijdelijk regelingdeel</w:t>
      </w:r>
      <w:r w:rsidRPr="00467426">
        <w:t xml:space="preserve">. Bijvoorbeeld: </w:t>
      </w:r>
      <w:r>
        <w:t>Reactieve interventie op de 48</w:t>
      </w:r>
      <w:r w:rsidRPr="00D25014">
        <w:rPr>
          <w:vertAlign w:val="superscript"/>
        </w:rPr>
        <w:t xml:space="preserve">e </w:t>
      </w:r>
      <w:r>
        <w:t>wijziging omgevingsplan gemeente Gemeentestad</w:t>
      </w:r>
      <w:r w:rsidRPr="00467426">
        <w:t>.</w:t>
      </w:r>
    </w:p>
    <w:p w14:paraId="69FF6719" w14:textId="7BA2BB10"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die de regels van 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EF065D">
        <w:rPr>
          <w:rStyle w:val="Verwijzing"/>
        </w:rPr>
        <w:fldChar w:fldCharType="begin"/>
      </w:r>
      <w:r w:rsidR="00D30B96" w:rsidRPr="00EF065D">
        <w:rPr>
          <w:rStyle w:val="Verwijzing"/>
        </w:rPr>
        <w:instrText xml:space="preserve"> REF _Ref_8cc6c3530ceef186c7708a24c1bc5431_1 \n \h </w:instrText>
      </w:r>
      <w:r w:rsidR="00D30B96" w:rsidRPr="00EF065D">
        <w:rPr>
          <w:rStyle w:val="Verwijzing"/>
        </w:rPr>
      </w:r>
      <w:r w:rsidR="00D30B96" w:rsidRPr="00EF065D">
        <w:rPr>
          <w:rStyle w:val="Verwijzing"/>
        </w:rPr>
        <w:fldChar w:fldCharType="separate"/>
      </w:r>
      <w:r w:rsidR="00D90108" w:rsidRPr="00EF065D">
        <w:rPr>
          <w:rStyle w:val="Verwijzing"/>
        </w:rPr>
        <w:t>2</w:t>
      </w:r>
      <w:r w:rsidR="00D30B96" w:rsidRPr="00EF065D">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regels van het omgevingsplan moeten luiden. Ze </w:t>
      </w:r>
      <w:r w:rsidRPr="00CD406C">
        <w:t xml:space="preserve">wijken </w:t>
      </w:r>
      <w:r>
        <w:t xml:space="preserve">dus per definitie af </w:t>
      </w:r>
      <w:r w:rsidRPr="00CD406C">
        <w:t xml:space="preserve">van de regels in de hoofdregeling. </w:t>
      </w:r>
      <w:r>
        <w:t xml:space="preserve">In de Conditie wordt daarom beschreven dat het tijdelijk regelingdeel voorrang heeft op de hoofdregeling. STOP vereist dat de beschrijving van de relatie wordt opgenomen in een Artikel binnen het element Conditie. Dit Artikel moet, net als alle andere artikelen, worden voorzien van een Kop. In dit specifieke geval bestaat die Kop uitsluitend uit een Opschrift; Label en Nummer komen dus niet voor. Een voorbeeld van het Opschrift van dit Artikel is </w:t>
      </w:r>
      <w:r>
        <w:lastRenderedPageBreak/>
        <w:t>‘</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IMOW-objecten</w:t>
      </w:r>
      <w:r>
        <w:t xml:space="preserve">. Het annoteren met IMOW-objecten is </w:t>
      </w:r>
      <w:r w:rsidRPr="005015E6">
        <w:t xml:space="preserve">beschreven in hoofdstuk </w:t>
      </w:r>
      <w:r w:rsidR="00356FE8" w:rsidRPr="00EF065D">
        <w:rPr>
          <w:rStyle w:val="Verwijzing"/>
        </w:rPr>
        <w:fldChar w:fldCharType="begin"/>
      </w:r>
      <w:r w:rsidR="00356FE8" w:rsidRPr="00EF065D">
        <w:rPr>
          <w:rStyle w:val="Verwijzing"/>
        </w:rPr>
        <w:instrText xml:space="preserve"> REF _Ref_e25eb2d38c8206df62dff5defc49ca5b_3 \n \h </w:instrText>
      </w:r>
      <w:r w:rsidR="00356FE8" w:rsidRPr="00EF065D">
        <w:rPr>
          <w:rStyle w:val="Verwijzing"/>
        </w:rPr>
      </w:r>
      <w:r w:rsidR="00356FE8" w:rsidRPr="00EF065D">
        <w:rPr>
          <w:rStyle w:val="Verwijzing"/>
        </w:rPr>
        <w:fldChar w:fldCharType="separate"/>
      </w:r>
      <w:r w:rsidR="00D90108" w:rsidRPr="00EF065D">
        <w:rPr>
          <w:rStyle w:val="Verwijzing"/>
        </w:rPr>
        <w:t>7</w:t>
      </w:r>
      <w:r w:rsidR="00356FE8" w:rsidRPr="00EF065D">
        <w:rPr>
          <w:rStyle w:val="Verwijzing"/>
        </w:rPr>
        <w:fldChar w:fldCharType="end"/>
      </w:r>
      <w:r w:rsidRPr="005015E6">
        <w:t>.</w:t>
      </w:r>
      <w:r>
        <w:br/>
        <w:t xml:space="preserve">Een uitgebreide toelichting op het tijdelijk regelingdeel staat in paragraaf </w:t>
      </w:r>
      <w:r w:rsidR="00356FE8" w:rsidRPr="00EF065D">
        <w:rPr>
          <w:rStyle w:val="Verwijzing"/>
        </w:rPr>
        <w:fldChar w:fldCharType="begin"/>
      </w:r>
      <w:r w:rsidR="00356FE8" w:rsidRPr="00EF065D">
        <w:rPr>
          <w:rStyle w:val="Verwijzing"/>
        </w:rPr>
        <w:instrText xml:space="preserve"> REF _Ref_bc948fa8e869efd80ed9e55a6515812b_4 \n \h </w:instrText>
      </w:r>
      <w:r w:rsidR="00356FE8" w:rsidRPr="00EF065D">
        <w:rPr>
          <w:rStyle w:val="Verwijzing"/>
        </w:rPr>
      </w:r>
      <w:r w:rsidR="00356FE8" w:rsidRPr="00EF065D">
        <w:rPr>
          <w:rStyle w:val="Verwijzing"/>
        </w:rPr>
        <w:fldChar w:fldCharType="separate"/>
      </w:r>
      <w:r w:rsidR="00D90108" w:rsidRPr="00EF065D">
        <w:rPr>
          <w:rStyle w:val="Verwijzing"/>
        </w:rPr>
        <w:t>2.3</w:t>
      </w:r>
      <w:r w:rsidR="00356FE8" w:rsidRPr="00EF065D">
        <w:rPr>
          <w:rStyle w:val="Verwijzing"/>
        </w:rPr>
        <w:fldChar w:fldCharType="end"/>
      </w:r>
      <w:r>
        <w:t>.</w:t>
      </w:r>
    </w:p>
    <w:p w14:paraId="06231C94" w14:textId="1446CAD9" w:rsidR="00713915" w:rsidRDefault="00713915" w:rsidP="00713915">
      <w:pPr>
        <w:pStyle w:val="Opsommingnummers1"/>
      </w:pPr>
      <w:r w:rsidRPr="009A4D4E">
        <w:rPr>
          <w:b/>
          <w:bCs/>
        </w:rPr>
        <w:t>Bijlage</w:t>
      </w:r>
      <w:r>
        <w:t xml:space="preserve">: </w:t>
      </w:r>
      <w:r w:rsidRPr="004D4696">
        <w:t xml:space="preserve">het gaat hier om een Bijlage bij </w:t>
      </w:r>
      <w:r>
        <w:t>het tijdelijk regelingdeel.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in het Lichaam kan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Bijlagen bij het tijdelijk regelingdeel worden bekendgemaakt én geconsolideerd. Deze bijlagen zijn dus zowel te vinden op officielebekendmakingen.nl als in de regelingenbank op overheid.nl en in DSO-LV.</w:t>
      </w:r>
      <w:r>
        <w:br/>
        <w:t xml:space="preserve">Bijlagen worden gepubliceerd als onderdeel van de tekst in STOP-XML of als </w:t>
      </w:r>
      <w:r w:rsidRPr="00A142C1">
        <w:t>document-</w:t>
      </w:r>
      <w:r>
        <w:t xml:space="preserve">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356FE8" w:rsidRPr="00EF065D">
        <w:rPr>
          <w:rStyle w:val="Verwijzing"/>
        </w:rPr>
        <w:fldChar w:fldCharType="begin"/>
      </w:r>
      <w:r w:rsidR="00356FE8" w:rsidRPr="00EF065D">
        <w:rPr>
          <w:rStyle w:val="Verwijzing"/>
        </w:rPr>
        <w:instrText xml:space="preserve"> REF _Ref_fab369464ffdb76801f7c98aceb78e50_1 \n \h </w:instrText>
      </w:r>
      <w:r w:rsidR="00356FE8" w:rsidRPr="00EF065D">
        <w:rPr>
          <w:rStyle w:val="Verwijzing"/>
        </w:rPr>
      </w:r>
      <w:r w:rsidR="00356FE8" w:rsidRPr="00EF065D">
        <w:rPr>
          <w:rStyle w:val="Verwijzing"/>
        </w:rPr>
        <w:fldChar w:fldCharType="separate"/>
      </w:r>
      <w:r w:rsidR="00D90108" w:rsidRPr="00EF065D">
        <w:rPr>
          <w:rStyle w:val="Verwijzing"/>
        </w:rPr>
        <w:t>5.4</w:t>
      </w:r>
      <w:r w:rsidR="00356FE8" w:rsidRPr="00EF065D">
        <w:rPr>
          <w:rStyle w:val="Verwijzing"/>
        </w:rPr>
        <w:fldChar w:fldCharType="end"/>
      </w:r>
      <w:r>
        <w:t xml:space="preserve">. </w:t>
      </w:r>
      <w:r>
        <w:br/>
      </w:r>
      <w:r w:rsidRPr="00A3156C">
        <w:t xml:space="preserve">In </w:t>
      </w:r>
      <w:r>
        <w:t xml:space="preserve">een </w:t>
      </w:r>
      <w:r w:rsidRPr="00A3156C">
        <w:t xml:space="preserve">Bijlage </w:t>
      </w:r>
      <w:r w:rsidRPr="008C2D17">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Wanneer een bijlage vervalt kan in het element Bijlage het element Vervallen worden opgenomen. In een bijlage bij het tijdelijk regelingdeel van een reactieve interventie zullen deze mogelijkheden niet gebruikt worden. Daarom worden ze hier niet nader toegelicht.</w:t>
      </w:r>
      <w:r>
        <w:br/>
        <w:t xml:space="preserve">Een Bijlage kan worden afgesloten met het element Sluiting. Van die mogelijkheid zal naar verwachting niet vaak gebruik gemaakt worden. </w:t>
      </w:r>
      <w:r w:rsidRPr="0085686E">
        <w:t>Een Bijlage wordt niet geannoteerd met IMOW-objecten.</w:t>
      </w:r>
    </w:p>
    <w:p w14:paraId="0C0BFBDD" w14:textId="77777777" w:rsidR="00713915" w:rsidRPr="00B64D21" w:rsidRDefault="00713915" w:rsidP="00713915">
      <w:pPr>
        <w:pStyle w:val="Opsommingnummers1"/>
      </w:pPr>
      <w:r w:rsidRPr="00B64D21">
        <w:rPr>
          <w:b/>
          <w:bCs/>
        </w:rPr>
        <w:t>Toelichting</w:t>
      </w:r>
      <w:r w:rsidRPr="00B64D21">
        <w:t xml:space="preserve">: de Toelichting op </w:t>
      </w:r>
      <w:r>
        <w:t>het tijdelijk regelingdeel</w:t>
      </w:r>
      <w:r w:rsidRPr="00B64D21">
        <w:t xml:space="preserve">. STOP biedt voor toelichtingen </w:t>
      </w:r>
      <w:r>
        <w:t>een aantal</w:t>
      </w:r>
      <w:r w:rsidRPr="00B64D21">
        <w:t xml:space="preserve"> keuzemogelijkheden:</w:t>
      </w:r>
    </w:p>
    <w:p w14:paraId="42C9F333" w14:textId="77777777" w:rsidR="00713915" w:rsidRPr="00B64D21" w:rsidRDefault="00713915" w:rsidP="00713915">
      <w:pPr>
        <w:pStyle w:val="Opsommingtekens2"/>
      </w:pPr>
      <w:r w:rsidRPr="00B64D21">
        <w:t>De</w:t>
      </w:r>
      <w:r>
        <w:t xml:space="preserve"> eerste</w:t>
      </w:r>
      <w:r w:rsidRPr="00B64D21">
        <w:t xml:space="preserve"> keuze is die tussen de ‘hoofdelementen’ Toelichting en ArtikelgewijzeToelichting:</w:t>
      </w:r>
    </w:p>
    <w:p w14:paraId="5883C1EB" w14:textId="77777777" w:rsidR="00713915" w:rsidRPr="00A8274D" w:rsidRDefault="00713915" w:rsidP="00713915">
      <w:pPr>
        <w:pStyle w:val="Opsommingtekens3"/>
      </w:pPr>
      <w:r w:rsidRPr="00A8274D">
        <w:t xml:space="preserve">Toelichting: kies voor </w:t>
      </w:r>
      <w:r w:rsidRPr="00743894">
        <w:t xml:space="preserve">het ‘hoofdelement’ </w:t>
      </w:r>
      <w:r w:rsidRPr="00A8274D">
        <w:t>Toelichting als er alleen een algemene toelichting is of als de toelichting zowel een algemeen deel als een artikelsgewijs deel heeft.</w:t>
      </w:r>
    </w:p>
    <w:p w14:paraId="51B33EC5" w14:textId="77777777" w:rsidR="00713915" w:rsidRPr="00B64D21" w:rsidRDefault="00713915" w:rsidP="00713915">
      <w:pPr>
        <w:pStyle w:val="Opsommingtekens3"/>
      </w:pPr>
      <w:r w:rsidRPr="00B64D21">
        <w:t>ArtikelgewijzeToelichting: kies het ‘hoofdelement’ ArtikelgewijzeToelichting als er bij de Regeling alleen een artikelsgewijze toelichting is. Dit ‘hoofdelement’ wordt hierna beschreven, zie nr. 5.</w:t>
      </w:r>
    </w:p>
    <w:p w14:paraId="647BE2B5" w14:textId="77777777" w:rsidR="00713915" w:rsidRPr="00B64D21" w:rsidRDefault="00713915" w:rsidP="00713915">
      <w:pPr>
        <w:pStyle w:val="Opsommingtekens2"/>
      </w:pPr>
      <w:r>
        <w:t xml:space="preserve">Wanneer </w:t>
      </w:r>
      <w:r w:rsidRPr="00B64D21">
        <w:t>is gekozen voor het ‘hoofdelement’ Toelichting is er een vervolgkeuze:</w:t>
      </w:r>
    </w:p>
    <w:p w14:paraId="7FB51D1B" w14:textId="77777777" w:rsidR="00713915" w:rsidRPr="00B64D21" w:rsidRDefault="00713915" w:rsidP="00713915">
      <w:pPr>
        <w:pStyle w:val="Opsommingtekens3"/>
      </w:pPr>
      <w:r w:rsidRPr="00B64D21">
        <w:t>Er is alleen een algemene toelichting</w:t>
      </w:r>
      <w:r w:rsidRPr="00B64D21">
        <w:br/>
        <w:t>In dit geval is er nog een keuze tussen:</w:t>
      </w:r>
    </w:p>
    <w:p w14:paraId="622A8F77" w14:textId="77777777" w:rsidR="00713915" w:rsidRPr="00B64D21" w:rsidRDefault="00713915" w:rsidP="00713915">
      <w:pPr>
        <w:pStyle w:val="Opsommingtekens4"/>
      </w:pPr>
      <w:r w:rsidRPr="00B64D21">
        <w:lastRenderedPageBreak/>
        <w:t xml:space="preserve">Een </w:t>
      </w:r>
      <w:r>
        <w:t>meer</w:t>
      </w:r>
      <w:r w:rsidRPr="00B64D21">
        <w:t xml:space="preserve"> gestructureerde opzet</w:t>
      </w:r>
      <w:r w:rsidRPr="00B64D21">
        <w:br/>
        <w:t>Deze opzet wordt gekozen wanneer de opsteller machineleesbaar wil maken dat sprake is van een toelichting van algemene aard. Dan wordt</w:t>
      </w:r>
      <w:r>
        <w:t>, binnen het element Toelichting,</w:t>
      </w:r>
      <w:r w:rsidRPr="00B64D21">
        <w:t xml:space="preserve"> het element AlgemeneToelichting </w:t>
      </w:r>
      <w:r>
        <w:t>toegevoegd</w:t>
      </w:r>
      <w:r w:rsidRPr="00B64D21">
        <w:t>. Binnen dit element staat de inhoud van de toelichting in een of meer Divisieteksten, die desgewenst hiërarchisch kunnen worden gestructureerd in Divisies.</w:t>
      </w:r>
    </w:p>
    <w:p w14:paraId="15CEAF69" w14:textId="77777777" w:rsidR="00713915" w:rsidRPr="00B64D21" w:rsidRDefault="00713915" w:rsidP="00713915">
      <w:pPr>
        <w:pStyle w:val="Opsommingtekens4"/>
      </w:pPr>
      <w:r w:rsidRPr="00B64D21">
        <w:t xml:space="preserve">Een </w:t>
      </w:r>
      <w:r w:rsidRPr="003A1382">
        <w:t xml:space="preserve">vrijere </w:t>
      </w:r>
      <w:r w:rsidRPr="00B64D21">
        <w:t>opzet</w:t>
      </w:r>
      <w:r w:rsidRPr="00B64D21">
        <w:br/>
        <w:t xml:space="preserve">Deze opzet wordt gekozen wanneer de opsteller het niet </w:t>
      </w:r>
      <w:r>
        <w:t xml:space="preserve">noodzakelijk </w:t>
      </w:r>
      <w:r w:rsidRPr="00B64D21">
        <w:t>vindt dat machineleesbaar is dat sprake is van een toelichting van algemene aard. In dat geval plaatst de opsteller de inhoud van de toelichting in een of meer Divisieteksten rechtstreeks onder het element Toelichting. De Divisieteksten kunnen desgewenst hiërarchisch worden gestructureerd in Divisies.</w:t>
      </w:r>
    </w:p>
    <w:p w14:paraId="352C0731" w14:textId="77777777" w:rsidR="00713915" w:rsidRPr="00B64D21" w:rsidRDefault="00713915" w:rsidP="00713915">
      <w:pPr>
        <w:pStyle w:val="Opsommingtekens3"/>
      </w:pPr>
      <w:r w:rsidRPr="00B64D21">
        <w:t>De toelichting heeft zowel een algemeen deel als een artikelsgewijs deel</w:t>
      </w:r>
      <w:r w:rsidRPr="00B64D21">
        <w:br/>
        <w:t xml:space="preserve">Voor dit type toelichting moeten de elementen AlgemeneToelichting en ArtikelgewijzeToelichting worden gebruikt. Binnen die elementen staat de inhoud van de </w:t>
      </w:r>
      <w:r>
        <w:t xml:space="preserve">betreffende </w:t>
      </w:r>
      <w:r w:rsidRPr="00B64D21">
        <w:t>toelichting in een of meer Divisieteksten, die desgewenst hiërarchisch kunnen worden gestructureerd in Divisies.</w:t>
      </w:r>
    </w:p>
    <w:p w14:paraId="751CB78B" w14:textId="77777777" w:rsidR="00713915" w:rsidRDefault="00713915" w:rsidP="00713915">
      <w:pPr>
        <w:pStyle w:val="Opsommingtekens2"/>
        <w:numPr>
          <w:ilvl w:val="0"/>
          <w:numId w:val="0"/>
        </w:numPr>
        <w:ind w:left="284"/>
      </w:pPr>
      <w:r w:rsidRPr="00C77BDF">
        <w:t>Let op dat de hier besproken algemene toelichting een algemene toelichting geeft op de hele regeling en niet op een besluit.</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IMOW-objecten. </w:t>
      </w:r>
      <w:r>
        <w:br/>
        <w:t>Opgemerkt wordt nog dat het element Toelichting en de toelichting daarop voor de volledigheid zijn opgenomen. Het STOP-model biedt immers de mogelijkheid om in het tijdelijk regelingdeel een Toelichting op te nemen. Gezien het zeer tijdelijke karakter van het tijdelijk regelingdeel van een reactieve interventie wordt niet verwacht dat daar daadwerkelijk gebruik van gemaakt zal worden.</w:t>
      </w:r>
    </w:p>
    <w:p w14:paraId="69BA3A0B" w14:textId="77777777" w:rsidR="00713915" w:rsidRPr="00467426" w:rsidRDefault="00713915" w:rsidP="00713915">
      <w:pPr>
        <w:pStyle w:val="Opsommingnummers1"/>
      </w:pPr>
      <w:r w:rsidRPr="00467426">
        <w:rPr>
          <w:b/>
          <w:bCs/>
        </w:rPr>
        <w:t>ArtikelgewijzeToelichting</w:t>
      </w:r>
      <w:r>
        <w:t xml:space="preserve">: </w:t>
      </w:r>
      <w:r w:rsidRPr="00B73FF0">
        <w:t xml:space="preserve">het gaat hier om een </w:t>
      </w:r>
      <w:r>
        <w:t>Artikelgewijze</w:t>
      </w:r>
      <w:r w:rsidRPr="00B73FF0">
        <w:t xml:space="preserve">Toelichting bij </w:t>
      </w:r>
      <w:r>
        <w:t>het tijdelijk regelingdeel</w:t>
      </w:r>
      <w:r w:rsidRPr="00B73FF0">
        <w:t>.</w:t>
      </w:r>
      <w:r>
        <w:t xml:space="preserve"> Dit element moet worden gebruikt </w:t>
      </w:r>
      <w:r w:rsidRPr="000F50EF">
        <w:t xml:space="preserve">als er bij </w:t>
      </w:r>
      <w:r w:rsidRPr="00C978D3">
        <w:t>het tijdelijk regelingdeel</w:t>
      </w:r>
      <w:r w:rsidRPr="000F50EF">
        <w:t xml:space="preserve"> alleen een artikelsgewijze toelichting is. </w:t>
      </w:r>
      <w:r>
        <w:t xml:space="preserve">Zie ook de beschrijving van de eerste keuzemogelijkheid bij nr. 4. </w:t>
      </w:r>
      <w:r w:rsidRPr="009C26EF">
        <w:t xml:space="preserve">Binnen </w:t>
      </w:r>
      <w:r>
        <w:t xml:space="preserve">het </w:t>
      </w:r>
      <w:r w:rsidRPr="009C26EF">
        <w:t xml:space="preserve">element ArtikelgewijzeToelichting staat de inhoud van de </w:t>
      </w:r>
      <w:r>
        <w:t xml:space="preserve">artikelsgewijze </w:t>
      </w:r>
      <w:r w:rsidRPr="009C26EF">
        <w:t>toelichting in een of meer Divisieteksten, die desgewenst hiërarchisch kunnen worden gestructureerd in Divisies.</w:t>
      </w:r>
      <w:r>
        <w:br/>
      </w:r>
      <w:r w:rsidRPr="00B213E7">
        <w:t xml:space="preserve">De </w:t>
      </w:r>
      <w:r>
        <w:t>Artikelgewijze</w:t>
      </w:r>
      <w:r w:rsidRPr="00B213E7">
        <w:t xml:space="preserve">Toelichting bij </w:t>
      </w:r>
      <w:r>
        <w:t xml:space="preserve">het tijdelijk regelingdeel </w:t>
      </w:r>
      <w:r w:rsidRPr="00B213E7">
        <w:t xml:space="preserve">wordt bekendgemaakt én geconsolideerd. Deze </w:t>
      </w:r>
      <w:r>
        <w:t xml:space="preserve">artikelsgewijze </w:t>
      </w:r>
      <w:r w:rsidRPr="00B213E7">
        <w:t>toelichting is dus zowel te vinden op officielebekendmakingen.nl als in de regelingenbank op overheid.nl en in DSO-LV.</w:t>
      </w:r>
      <w:r>
        <w:t xml:space="preserve"> </w:t>
      </w:r>
      <w:r w:rsidRPr="00907FCB">
        <w:t>Een ArtikelgewijzeToelichting wordt niet geannoteerd met IMOW-objecten.</w:t>
      </w:r>
      <w:r>
        <w:br/>
      </w:r>
      <w:r w:rsidRPr="00250B9F">
        <w:t xml:space="preserve">Opgemerkt wordt nog dat het element </w:t>
      </w:r>
      <w:r>
        <w:t>Artikelgewijze</w:t>
      </w:r>
      <w:r w:rsidRPr="00250B9F">
        <w:t xml:space="preserve">Toelichting en de toelichting daarop voor de volledigheid zijn opgenomen. Het STOP-model biedt immers de mogelijkheid om in het tijdelijk regelingdeel een </w:t>
      </w:r>
      <w:r w:rsidRPr="003C771B">
        <w:t>Artikelgewijze</w:t>
      </w:r>
      <w:r w:rsidRPr="00250B9F">
        <w:t>Toelichting op te nemen. Gezien het zeer tijdelijke karakter van het tijdelijk regelingdeel van een reactieve interventie wordt niet verwacht dat daar daadwerkelijk gebruik van gemaakt zal worden.</w:t>
      </w:r>
    </w:p>
    <w:p w14:paraId="28519D3A" w14:textId="77777777" w:rsidR="00713915" w:rsidRDefault="00713915" w:rsidP="00713915"/>
    <w:p w14:paraId="5E097CC1" w14:textId="174D0633" w:rsidR="00713915" w:rsidRDefault="00713915" w:rsidP="00713915">
      <w:r w:rsidRPr="000B5C9F">
        <w:t xml:space="preserve">Veel van de hiervoor besproken elementen moeten worden voorzien van een Kop. Voor de Kop zijn de Kopelementen Label, Nummer en Opschrift beschikbaar. Label is de aanduiding van het type tekstelement, zoals Hoofdstuk, Paragraaf of Artikel. Opschrift is de titel van het </w:t>
      </w:r>
      <w:r w:rsidRPr="000B5C9F">
        <w:lastRenderedPageBreak/>
        <w:t>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EF065D">
        <w:rPr>
          <w:rStyle w:val="Verwijzing"/>
        </w:rPr>
        <w:fldChar w:fldCharType="begin"/>
      </w:r>
      <w:r w:rsidR="00355289" w:rsidRPr="00EF065D">
        <w:rPr>
          <w:rStyle w:val="Verwijzing"/>
        </w:rPr>
        <w:instrText xml:space="preserve"> REF _Ref_e4c922e70f6e15bcdd1f4b446907ced6_2 \n \h </w:instrText>
      </w:r>
      <w:r w:rsidR="00355289" w:rsidRPr="00EF065D">
        <w:rPr>
          <w:rStyle w:val="Verwijzing"/>
        </w:rPr>
      </w:r>
      <w:r w:rsidR="00355289" w:rsidRPr="00EF065D">
        <w:rPr>
          <w:rStyle w:val="Verwijzing"/>
        </w:rPr>
        <w:fldChar w:fldCharType="separate"/>
      </w:r>
      <w:r w:rsidR="00D90108" w:rsidRPr="00EF065D">
        <w:rPr>
          <w:rStyle w:val="Verwijzing"/>
        </w:rPr>
        <w:t>5.2.2.1.1</w:t>
      </w:r>
      <w:r w:rsidR="00355289" w:rsidRPr="00EF065D">
        <w:rPr>
          <w:rStyle w:val="Verwijzing"/>
        </w:rPr>
        <w:fldChar w:fldCharType="end"/>
      </w:r>
      <w:r>
        <w:t>.</w:t>
      </w:r>
    </w:p>
    <w:p w14:paraId="2D03EB48" w14:textId="77777777" w:rsidR="00713915" w:rsidRPr="00263FA8"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