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AAC3" w14:textId="552ED4BB" w:rsidR="00C60D64" w:rsidRDefault="00C60D64" w:rsidP="00C60D64">
      <w:pPr>
        <w:pStyle w:val="Kop4"/>
      </w:pPr>
      <w:r>
        <w:t>De toepassing van Doel bij de instructie</w:t>
      </w:r>
    </w:p>
    <w:p w14:paraId="42ACB95E" w14:textId="6ECE5097" w:rsidR="00F52BC4" w:rsidRDefault="006B4357" w:rsidP="001F7CB3">
      <w:r>
        <w:t xml:space="preserve">Bij </w:t>
      </w:r>
      <w:r w:rsidR="00DE657E">
        <w:t xml:space="preserve">het </w:t>
      </w:r>
      <w:r w:rsidR="00A16BF1">
        <w:t xml:space="preserve">ter </w:t>
      </w:r>
      <w:r w:rsidR="00A16BF1" w:rsidRPr="00A16BF1">
        <w:t xml:space="preserve">bekendmaking </w:t>
      </w:r>
      <w:r w:rsidR="00DE657E">
        <w:t xml:space="preserve">aanleveren van </w:t>
      </w:r>
      <w:r>
        <w:t xml:space="preserve">een </w:t>
      </w:r>
      <w:r w:rsidR="00DE657E">
        <w:t xml:space="preserve">instructie </w:t>
      </w:r>
      <w:r w:rsidR="009145CF">
        <w:t>moet</w:t>
      </w:r>
      <w:r w:rsidR="00A16BF1">
        <w:t xml:space="preserve"> </w:t>
      </w:r>
      <w:r w:rsidR="00393DE7">
        <w:t xml:space="preserve">het bevoegd gezag </w:t>
      </w:r>
      <w:r w:rsidR="00B542CE">
        <w:t xml:space="preserve">het </w:t>
      </w:r>
      <w:r w:rsidR="00F52BC4">
        <w:t xml:space="preserve">Doel met bijbehorende consolidatie-informatie </w:t>
      </w:r>
      <w:r w:rsidR="00B542CE">
        <w:t xml:space="preserve">aanleveren. </w:t>
      </w:r>
      <w:r w:rsidR="00340717">
        <w:t xml:space="preserve">Een </w:t>
      </w:r>
      <w:r w:rsidR="00B542CE">
        <w:t xml:space="preserve">voorbeeld </w:t>
      </w:r>
      <w:r w:rsidR="00340717">
        <w:t>van hoe dat er uit zou kunnen zien</w:t>
      </w:r>
      <w:r w:rsidR="00F52BC4">
        <w:t>:</w:t>
      </w:r>
    </w:p>
    <w:p w14:paraId="3DB1EFCD" w14:textId="42824E82" w:rsidR="00EB3A64" w:rsidRDefault="00EB3A64" w:rsidP="00C23FD9">
      <w:pPr>
        <w:pStyle w:val="Opsommingtekens1"/>
      </w:pPr>
      <w:r>
        <w:t>Doel</w:t>
      </w:r>
      <w:r w:rsidR="006E74EE">
        <w:t xml:space="preserve"> van de beoogde Regeling</w:t>
      </w:r>
      <w:r>
        <w:t>: /join/id/proces/</w:t>
      </w:r>
      <w:r w:rsidR="000B2C81" w:rsidRPr="000B2C81">
        <w:t>mnre1109</w:t>
      </w:r>
      <w:r>
        <w:t>/</w:t>
      </w:r>
      <w:r w:rsidR="00FD0F5E">
        <w:t>2021/</w:t>
      </w:r>
      <w:r w:rsidR="00E24366">
        <w:t>instelling_ins</w:t>
      </w:r>
      <w:r w:rsidR="00912723">
        <w:t>1</w:t>
      </w:r>
      <w:r w:rsidR="00E24366">
        <w:t>_Gemeentestad</w:t>
      </w:r>
    </w:p>
    <w:p w14:paraId="251F09D7" w14:textId="727F2C38" w:rsidR="002E7D10" w:rsidRDefault="006E74EE" w:rsidP="00C23FD9">
      <w:pPr>
        <w:pStyle w:val="Opsommingtekens1"/>
      </w:pPr>
      <w:r>
        <w:t>S</w:t>
      </w:r>
      <w:r w:rsidR="00EB3A64">
        <w:t>oort tijdstempel</w:t>
      </w:r>
      <w:r>
        <w:t>:</w:t>
      </w:r>
      <w:r w:rsidR="00EB3A64">
        <w:t xml:space="preserve"> juridischWerkendVanaf</w:t>
      </w:r>
    </w:p>
    <w:p w14:paraId="2156ED6D" w14:textId="32C95513" w:rsidR="00F52BC4" w:rsidRDefault="009733FF" w:rsidP="00C23FD9">
      <w:pPr>
        <w:pStyle w:val="Opsommingtekens1"/>
      </w:pPr>
      <w:r>
        <w:t>D</w:t>
      </w:r>
      <w:r w:rsidR="00EB3A64">
        <w:t>atum tijdstempel</w:t>
      </w:r>
      <w:r>
        <w:t>:</w:t>
      </w:r>
      <w:r w:rsidR="00EB3A64">
        <w:t xml:space="preserve"> &lt;datum inwerkingtreding </w:t>
      </w:r>
      <w:r w:rsidR="00912723">
        <w:t>instructie</w:t>
      </w:r>
      <w:r w:rsidR="00EB3A64">
        <w:t>&gt;</w:t>
      </w:r>
    </w:p>
    <w:p w14:paraId="663A4267" w14:textId="77777777" w:rsidR="00CB18E7" w:rsidRDefault="00CB18E7" w:rsidP="00C23FD9">
      <w:pPr>
        <w:pStyle w:val="Opsommingtekens1"/>
      </w:pPr>
      <w:r>
        <w:t>V</w:t>
      </w:r>
      <w:r w:rsidR="007F1C49">
        <w:t>erwijzing</w:t>
      </w:r>
      <w:r>
        <w:t>en</w:t>
      </w:r>
      <w:r w:rsidR="007F1C49">
        <w:t xml:space="preserve"> naar</w:t>
      </w:r>
      <w:r>
        <w:t>:</w:t>
      </w:r>
    </w:p>
    <w:p w14:paraId="67A2290B" w14:textId="744DE106" w:rsidR="00B511E7" w:rsidRDefault="00B511E7" w:rsidP="00C23FD9">
      <w:pPr>
        <w:pStyle w:val="Opsommingtekens2"/>
      </w:pPr>
      <w:r w:rsidRPr="00B511E7">
        <w:t>de identificatie van het WijzigArtikel in het wijzigingsbesluit dat de verwijzing naar de WijzigBijlage bevat;</w:t>
      </w:r>
    </w:p>
    <w:p w14:paraId="459A24C2" w14:textId="5522D76C" w:rsidR="00CC7731" w:rsidRDefault="007F1C49" w:rsidP="00C23FD9">
      <w:pPr>
        <w:pStyle w:val="Opsommingtekens2"/>
      </w:pPr>
      <w:r>
        <w:t xml:space="preserve">de identificatie van het artikel in het besluit waarin de </w:t>
      </w:r>
      <w:r w:rsidR="007B6A59">
        <w:t>inwerkingtreding van de instructie is geregeld</w:t>
      </w:r>
      <w:r w:rsidR="00C05C1C">
        <w:t xml:space="preserve"> (in het voorbeeld van </w:t>
      </w:r>
      <w:r w:rsidR="00212828" w:rsidRPr="009D266E">
        <w:rPr>
          <w:rStyle w:val="Verwijzing"/>
        </w:rPr>
        <w:fldChar w:fldCharType="begin"/>
      </w:r>
      <w:r w:rsidR="00212828" w:rsidRPr="009D266E">
        <w:rPr>
          <w:rStyle w:val="Verwijzing"/>
        </w:rPr>
        <w:instrText xml:space="preserve"> REF _Ref_93eb82846bfe8e903487856c9a4d52ab_3 \n \h </w:instrText>
      </w:r>
      <w:r w:rsidR="00C23FD9" w:rsidRPr="009D266E">
        <w:rPr>
          <w:rStyle w:val="Verwijzing"/>
        </w:rPr>
        <w:instrText xml:space="preserve"> \* MERGEFORMAT </w:instrText>
      </w:r>
      <w:r w:rsidR="00212828" w:rsidRPr="009D266E">
        <w:rPr>
          <w:rStyle w:val="Verwijzing"/>
        </w:rPr>
      </w:r>
      <w:r w:rsidR="00212828" w:rsidRPr="009D266E">
        <w:rPr>
          <w:rStyle w:val="Verwijzing"/>
        </w:rPr>
        <w:fldChar w:fldCharType="separate"/>
      </w:r>
      <w:r w:rsidR="003263D1" w:rsidRPr="009D266E">
        <w:rPr>
          <w:rStyle w:val="Verwijzing"/>
        </w:rPr>
        <w:t>Figuur 15</w:t>
      </w:r>
      <w:r w:rsidR="00212828" w:rsidRPr="009D266E">
        <w:rPr>
          <w:rStyle w:val="Verwijzing"/>
        </w:rPr>
        <w:fldChar w:fldCharType="end"/>
      </w:r>
      <w:r w:rsidR="00212828">
        <w:t xml:space="preserve"> in subparagraaf </w:t>
      </w:r>
      <w:r w:rsidR="00212828" w:rsidRPr="009D266E">
        <w:rPr>
          <w:rStyle w:val="Verwijzing"/>
        </w:rPr>
        <w:fldChar w:fldCharType="begin"/>
      </w:r>
      <w:r w:rsidR="00212828" w:rsidRPr="009D266E">
        <w:rPr>
          <w:rStyle w:val="Verwijzing"/>
        </w:rPr>
        <w:instrText xml:space="preserve"> REF _Ref_93eb82846bfe8e903487856c9a4d52ab_1 </w:instrText>
      </w:r>
      <w:r w:rsidR="00096115" w:rsidRPr="009D266E">
        <w:rPr>
          <w:rStyle w:val="Verwijzing"/>
        </w:rPr>
        <w:instrText>\n \h</w:instrText>
      </w:r>
      <w:r w:rsidR="00212828" w:rsidRPr="009D266E">
        <w:rPr>
          <w:rStyle w:val="Verwijzing"/>
        </w:rPr>
        <w:instrText xml:space="preserve"> </w:instrText>
      </w:r>
      <w:r w:rsidR="00C23FD9" w:rsidRPr="009D266E">
        <w:rPr>
          <w:rStyle w:val="Verwijzing"/>
        </w:rPr>
        <w:instrText xml:space="preserve"> \* MERGEFORMAT </w:instrText>
      </w:r>
      <w:r w:rsidR="00212828" w:rsidRPr="009D266E">
        <w:rPr>
          <w:rStyle w:val="Verwijzing"/>
        </w:rPr>
      </w:r>
      <w:r w:rsidR="00212828" w:rsidRPr="009D266E">
        <w:rPr>
          <w:rStyle w:val="Verwijzing"/>
        </w:rPr>
        <w:fldChar w:fldCharType="separate"/>
      </w:r>
      <w:r w:rsidR="003263D1" w:rsidRPr="009D266E">
        <w:rPr>
          <w:rStyle w:val="Verwijzing"/>
        </w:rPr>
        <w:t>7.2.3.2</w:t>
      </w:r>
      <w:r w:rsidR="00212828" w:rsidRPr="009D266E">
        <w:rPr>
          <w:rStyle w:val="Verwijzing"/>
        </w:rPr>
        <w:fldChar w:fldCharType="end"/>
      </w:r>
      <w:r w:rsidR="00212828">
        <w:t xml:space="preserve"> is dat artikel II)</w:t>
      </w:r>
      <w:r w:rsidR="00627C36">
        <w:t>;</w:t>
      </w:r>
    </w:p>
    <w:p w14:paraId="40F702E9" w14:textId="6BC687E6" w:rsidR="00627C36" w:rsidRDefault="00627C36" w:rsidP="00C23FD9">
      <w:pPr>
        <w:pStyle w:val="Opsommingtekens2"/>
      </w:pPr>
      <w:r>
        <w:t xml:space="preserve">de </w:t>
      </w:r>
      <w:r w:rsidR="00D62AE5">
        <w:t>AKN (</w:t>
      </w:r>
      <w:r>
        <w:t>identificatie</w:t>
      </w:r>
      <w:r w:rsidR="00D62AE5">
        <w:t>)</w:t>
      </w:r>
      <w:r w:rsidR="00F1032B">
        <w:t xml:space="preserve"> van de </w:t>
      </w:r>
      <w:r w:rsidR="00FF25DA">
        <w:t xml:space="preserve">(regelingversie van de) </w:t>
      </w:r>
      <w:r w:rsidR="00F1032B">
        <w:t>instructie</w:t>
      </w:r>
      <w:r w:rsidR="00FF25DA">
        <w:t>.</w:t>
      </w:r>
    </w:p>
    <w:p w14:paraId="6D09B2C3" w14:textId="281BD867" w:rsidR="00BB4531" w:rsidRDefault="00BB4531" w:rsidP="00EB3A64"/>
    <w:p w14:paraId="7A3AA00A" w14:textId="13D05A54" w:rsidR="002E7D10" w:rsidRDefault="00B3114F" w:rsidP="00EB3A64">
      <w:r w:rsidRPr="00B3114F">
        <w:t xml:space="preserve">In paragraaf </w:t>
      </w:r>
      <w:r w:rsidRPr="009D266E">
        <w:rPr>
          <w:rStyle w:val="Verwijzing"/>
        </w:rPr>
        <w:fldChar w:fldCharType="begin"/>
      </w:r>
      <w:r w:rsidRPr="009D266E">
        <w:rPr>
          <w:rStyle w:val="Verwijzing"/>
        </w:rPr>
        <w:instrText xml:space="preserve"> REF _Ref_6a5dc0b1ed88454c020b98a9a108bbe4_2 </w:instrText>
      </w:r>
      <w:r w:rsidR="00096115" w:rsidRPr="009D266E">
        <w:rPr>
          <w:rStyle w:val="Verwijzing"/>
        </w:rPr>
        <w:instrText>\n \h</w:instrText>
      </w:r>
      <w:r w:rsidRPr="009D266E">
        <w:rPr>
          <w:rStyle w:val="Verwijzing"/>
        </w:rPr>
        <w:instrText xml:space="preserve"> </w:instrText>
      </w:r>
      <w:r w:rsidRPr="009D266E">
        <w:rPr>
          <w:rStyle w:val="Verwijzing"/>
        </w:rPr>
      </w:r>
      <w:r w:rsidRPr="009D266E">
        <w:rPr>
          <w:rStyle w:val="Verwijzing"/>
        </w:rPr>
        <w:fldChar w:fldCharType="separate"/>
      </w:r>
      <w:r w:rsidR="003263D1" w:rsidRPr="009D266E">
        <w:rPr>
          <w:rStyle w:val="Verwijzing"/>
        </w:rPr>
        <w:t>2.3</w:t>
      </w:r>
      <w:r w:rsidRPr="009D266E">
        <w:rPr>
          <w:rStyle w:val="Verwijzing"/>
        </w:rPr>
        <w:fldChar w:fldCharType="end"/>
      </w:r>
      <w:r w:rsidRPr="00B3114F">
        <w:t xml:space="preserve"> is al beschreven dat het, nadat voldaan is aan de instructie door de daarin opgedragen bevoegdheid uit te oefenen, wenselijk is dat de instructie niet langer getoond wordt in de nationale of lokale regelingenbank op overheid.nl en in DSO-LV. De instructie is dan immers uitgewerkt en biedt geen actuele informatie; het dan nog tonen van de instructie in die voorzieningen levert eerder verwarring op. De bekendmaking van de instructie blijft uiteraard permanent beschikbaar op officielebekendmakingen.nl.</w:t>
      </w:r>
    </w:p>
    <w:p w14:paraId="658B3896" w14:textId="5F51AF52" w:rsidR="0069163B" w:rsidRDefault="0069163B" w:rsidP="006D40DF">
      <w:pPr>
        <w:pStyle w:val="Kader"/>
      </w:pPr>
      <w:r>
        <w:rPr>
          <w:noProof/>
        </w:rPr>
        <mc:AlternateContent>
          <mc:Choice Requires="wps">
            <w:drawing>
              <wp:inline distT="0" distB="0" distL="0" distR="0" wp14:anchorId="5BBFB4E7" wp14:editId="67F48E8B">
                <wp:extent cx="1828800" cy="1828800"/>
                <wp:effectExtent l="0" t="0" r="22860" b="16510"/>
                <wp:docPr id="13" name="Tekstvak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6FCBC43" w14:textId="77777777" w:rsidR="0069163B" w:rsidRPr="0069163B" w:rsidRDefault="0069163B" w:rsidP="0069163B">
                            <w:pPr>
                              <w:rPr>
                                <w:b/>
                                <w:bCs/>
                              </w:rPr>
                            </w:pPr>
                            <w:r w:rsidRPr="0069163B">
                              <w:rPr>
                                <w:b/>
                                <w:bCs/>
                              </w:rPr>
                              <w:t>Toekomstige functionaliteit</w:t>
                            </w:r>
                          </w:p>
                          <w:p w14:paraId="08CF50DA" w14:textId="77777777" w:rsidR="0069163B" w:rsidRPr="001900F9" w:rsidRDefault="0069163B" w:rsidP="001900F9">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BBFB4E7" id="Tekstvak 13"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CF1i11AAgAAgQQAAA4AAAAAAAAA&#10;AAAAAAAALgIAAGRycy9lMm9Eb2MueG1sUEsBAi0AFAAGAAgAAAAhALcMAwjXAAAABQEAAA8AAAAA&#10;AAAAAAAAAAAAmgQAAGRycy9kb3ducmV2LnhtbFBLBQYAAAAABAAEAPMAAACeBQAAAAA=&#10;" filled="f" strokeweight=".5pt">
                <v:textbox style="mso-fit-shape-to-text:t">
                  <w:txbxContent>
                    <w:p w14:paraId="66FCBC43" w14:textId="77777777" w:rsidR="0069163B" w:rsidRPr="0069163B" w:rsidRDefault="0069163B" w:rsidP="0069163B">
                      <w:pPr>
                        <w:rPr>
                          <w:b/>
                          <w:bCs/>
                        </w:rPr>
                      </w:pPr>
                      <w:r w:rsidRPr="0069163B">
                        <w:rPr>
                          <w:b/>
                          <w:bCs/>
                        </w:rPr>
                        <w:t>Toekomstige functionaliteit</w:t>
                      </w:r>
                    </w:p>
                    <w:p w14:paraId="08CF50DA" w14:textId="77777777" w:rsidR="0069163B" w:rsidRPr="001900F9" w:rsidRDefault="0069163B" w:rsidP="001900F9">
                      <w:r>
                        <w:t>Het bevoegd gezag dat de in de instructie opgedragen bevoegdheid heeft uitgeoefend, dient te zorgen voor het aanleveren van de informatie die zorgt voor het beëindigen van de zichtbaarheid van de instructie. Het beëindigen van de zichtbaarheid van de instructie is nog niet uitgewerkt in STOP en de LVBB. Wanneer dat gereed is, wordt in dit toepassingsprofiel beschreven hoe dat moet.</w:t>
                      </w:r>
                    </w:p>
                  </w:txbxContent>
                </v:textbox>
                <w10:anchorlock/>
              </v:shape>
            </w:pict>
          </mc:Fallback>
        </mc:AlternateContent>
      </w:r>
    </w:p>
    <w:p w14:paraId="47F17643" w14:textId="77777777" w:rsidR="006D40DF" w:rsidRDefault="00F96420" w:rsidP="006D40DF">
      <w:pPr>
        <w:pStyle w:val="Kader"/>
      </w:pPr>
      <w:r>
        <w:rPr>
          <w:noProof/>
        </w:rPr>
        <mc:AlternateContent>
          <mc:Choice Requires="wps">
            <w:drawing>
              <wp:inline distT="0" distB="0" distL="0" distR="0" wp14:anchorId="7B137D17" wp14:editId="27F30CA8">
                <wp:extent cx="1828800" cy="1828800"/>
                <wp:effectExtent l="0" t="0" r="22860" b="10160"/>
                <wp:docPr id="16" name="Tekstvak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11A1584" w14:textId="77777777" w:rsidR="00F96420" w:rsidRPr="00F96420" w:rsidRDefault="00F96420" w:rsidP="00DA761A">
                            <w:pPr>
                              <w:rPr>
                                <w:b/>
                                <w:bCs/>
                              </w:rPr>
                            </w:pPr>
                            <w:r w:rsidRPr="00F96420">
                              <w:rPr>
                                <w:b/>
                                <w:bCs/>
                              </w:rPr>
                              <w:t>Toekomstige functionaliteit</w:t>
                            </w:r>
                          </w:p>
                          <w:p w14:paraId="20B84B57" w14:textId="77777777" w:rsidR="00F96420" w:rsidRPr="009A158C" w:rsidRDefault="00F96420" w:rsidP="009A158C">
                            <w:r>
                              <w:t xml:space="preserve">Het is mogelijk dat in de LVBB nog een voorziening moet worden getroffen die het mogelijk maakt dat </w:t>
                            </w:r>
                            <w:r w:rsidRPr="00DA761A">
                              <w:t xml:space="preserve">de informatie die zorgt voor het beëindigen van de zichtbaarheid van de instructie </w:t>
                            </w:r>
                            <w:r>
                              <w:t xml:space="preserve">wordt aangeleverd door een ander bevoegd gezag (i.c. het bevoegd gezag dat </w:t>
                            </w:r>
                            <w:r w:rsidRPr="001D214E">
                              <w:t>de in de instructie opgedragen bevoegdheid heeft uitgeoefend</w:t>
                            </w:r>
                            <w:r>
                              <w:t xml:space="preserve">) dan het bevoegd gezag dat de regeling heeft aangeleverd (i.c. </w:t>
                            </w:r>
                            <w:r w:rsidRPr="00F96420">
                              <w:t>het bevoegd gezag</w:t>
                            </w:r>
                            <w:r>
                              <w:t xml:space="preserve"> dat de instructie heeft gegeven).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B137D17" id="Tekstvak 16"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DclcG4QQIAAIEEAAAOAAAAAAAA&#10;AAAAAAAAAC4CAABkcnMvZTJvRG9jLnhtbFBLAQItABQABgAIAAAAIQC3DAMI1wAAAAUBAAAPAAAA&#10;AAAAAAAAAAAAAJsEAABkcnMvZG93bnJldi54bWxQSwUGAAAAAAQABADzAAAAnwUAAAAA&#10;" filled="f" strokeweight=".5pt">
                <v:textbox style="mso-fit-shape-to-text:t">
                  <w:txbxContent>
                    <w:p w14:paraId="411A1584" w14:textId="77777777" w:rsidR="00F96420" w:rsidRPr="00F96420" w:rsidRDefault="00F96420" w:rsidP="00DA761A">
                      <w:pPr>
                        <w:rPr>
                          <w:b/>
                          <w:bCs/>
                        </w:rPr>
                      </w:pPr>
                      <w:r w:rsidRPr="00F96420">
                        <w:rPr>
                          <w:b/>
                          <w:bCs/>
                        </w:rPr>
                        <w:t>Toekomstige functionaliteit</w:t>
                      </w:r>
                    </w:p>
                    <w:p w14:paraId="20B84B57" w14:textId="77777777" w:rsidR="00F96420" w:rsidRPr="009A158C" w:rsidRDefault="00F96420" w:rsidP="009A158C">
                      <w:r>
                        <w:t xml:space="preserve">Het is mogelijk dat in de LVBB nog een voorziening moet worden getroffen die het mogelijk maakt dat </w:t>
                      </w:r>
                      <w:r w:rsidRPr="00DA761A">
                        <w:t xml:space="preserve">de informatie die zorgt voor het beëindigen van de zichtbaarheid van de instructie </w:t>
                      </w:r>
                      <w:r>
                        <w:t xml:space="preserve">wordt aangeleverd door een ander bevoegd gezag (i.c. het bevoegd gezag dat </w:t>
                      </w:r>
                      <w:r w:rsidRPr="001D214E">
                        <w:t>de in de instructie opgedragen bevoegdheid heeft uitgeoefend</w:t>
                      </w:r>
                      <w:r>
                        <w:t xml:space="preserve">) dan het bevoegd gezag dat de regeling heeft aangeleverd (i.c. </w:t>
                      </w:r>
                      <w:r w:rsidRPr="00F96420">
                        <w:t>het bevoegd gezag</w:t>
                      </w:r>
                      <w:r>
                        <w:t xml:space="preserve"> dat de instructie heeft gegeven).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