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6984" w14:textId="7CD9D9D4" w:rsidR="001C3F92" w:rsidRDefault="00C85FA3" w:rsidP="0079006A">
      <w:pPr>
        <w:pStyle w:val="Kop4"/>
      </w:pPr>
      <w:r>
        <w:t>Inleiding</w:t>
      </w:r>
    </w:p>
    <w:p w14:paraId="533FD36B" w14:textId="796FEFB4" w:rsidR="00A12301" w:rsidRDefault="00C85FA3" w:rsidP="00A12301">
      <w:r w:rsidRPr="00AE28AE">
        <w:t xml:space="preserve">Bij het opstellen en wijzigen van omgevingsdocumenten werkt het bevoegd gezag in de eigen software aan het omgevingsdocument in Regeling-vorm: de volledige inhoud van het omgevingsdocument. Met de volledige inhoud wordt bedoeld: alle divisies (en onderliggende structuurelementen en inhoud), alle informatieobjecten en alle IMOW-informatie.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w:t>
      </w:r>
      <w:r w:rsidR="003A4B0C">
        <w:t>een B</w:t>
      </w:r>
      <w:r w:rsidR="00434F52" w:rsidRPr="00434F52">
        <w:t xml:space="preserve">esluit dat in renvooiweergave de wijzigingen bevat van de bestaande Regelingversie naar de nieuwe Regelingversie, oftewel </w:t>
      </w:r>
      <w:r w:rsidRPr="00AE28AE">
        <w:t xml:space="preserve">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w:t>
      </w:r>
      <w:r w:rsidR="008A5E69" w:rsidRPr="008A5E69">
        <w:t>De LVBB zorgt er voor dat het aangeleverde Besluit bekend gemaakt wordt en genereert met behulp van het Besluit een nieuwe RegelingVersie, oftewel een nieuwe geconsolideerde Regeling</w:t>
      </w:r>
      <w:r w:rsidRPr="00AE28AE">
        <w:t>. Om het de LVBB mogelijk te maken om die verwerkingen te doen stelt STOP eisen aan de vormgeving van de tekst van Regeling en Besluit. Die eisen zijn vastgelegd in tekstmodellen voor Regeling en tekstmodellen voor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