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9B1E44" w:rsidRDefault="009B1E44" w:rsidP="007D5679">
      <w:pPr>
        <w:pStyle w:val="Kop5"/>
      </w:pPr>
      <w:r>
        <w:lastRenderedPageBreak/>
        <w:t>Definitie</w:t>
      </w:r>
    </w:p>
    <w:p w14:paraId="4433BF07" w14:textId="059827BB" w:rsidR="003351CB" w:rsidRDefault="00961002" w:rsidP="007D5679">
      <w:r>
        <w:t xml:space="preserve">Externe veiligheid </w:t>
      </w:r>
      <w:r w:rsidR="00816840">
        <w:t xml:space="preserve">is </w:t>
      </w:r>
      <w:r w:rsidR="00643090">
        <w:t>het objecttype dat machineleesbaar maakt dat een Juridische regel of een Tekstdeel</w:t>
      </w:r>
      <w:r w:rsidR="003351CB" w:rsidRPr="003351CB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8236D1"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