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4C38" w14:textId="704EDC41" w:rsidR="00E81CD0" w:rsidRDefault="00C01F5C" w:rsidP="00C45571">
      <w:pPr>
        <w:pStyle w:val="Kop4"/>
      </w:pPr>
      <w:r>
        <w:t>Algemeen</w:t>
      </w:r>
    </w:p>
    <w:p w14:paraId="48F55E12" w14:textId="5309AAEE" w:rsidR="002F1FE1" w:rsidRDefault="00C45A0F" w:rsidP="003947FD">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rsidR="00E7343C">
        <w:t xml:space="preserve"> </w:t>
      </w:r>
      <w:r w:rsidR="004358CD">
        <w:t xml:space="preserve">Het </w:t>
      </w:r>
      <w:r w:rsidR="006157AF">
        <w:t xml:space="preserve">bevoegd gezag zorgt er voor dat </w:t>
      </w:r>
      <w:r w:rsidR="004358CD">
        <w:t xml:space="preserve">de </w:t>
      </w:r>
      <w:r w:rsidR="00214FF2">
        <w:t xml:space="preserve">bij </w:t>
      </w:r>
      <w:r w:rsidR="004358CD">
        <w:t xml:space="preserve">dat instrument </w:t>
      </w:r>
      <w:r w:rsidR="00214FF2">
        <w:t xml:space="preserve">behorende </w:t>
      </w:r>
      <w:r w:rsidR="004358CD">
        <w:t>procedure</w:t>
      </w:r>
      <w:r w:rsidR="006157AF">
        <w:t xml:space="preserve"> wordt doorlopen</w:t>
      </w:r>
      <w:r w:rsidR="00214FF2">
        <w:t xml:space="preserve">. In de loop van die procedure worden een </w:t>
      </w:r>
      <w:r w:rsidR="0085789D">
        <w:t xml:space="preserve">of meer versies van het </w:t>
      </w:r>
      <w:r w:rsidR="000C1779">
        <w:t>besluit</w:t>
      </w:r>
      <w:r w:rsidR="00F55023">
        <w:t xml:space="preserve"> </w:t>
      </w:r>
      <w:r w:rsidR="007C6CE8">
        <w:t xml:space="preserve">aan de LVBB aangeleverd. </w:t>
      </w:r>
      <w:r w:rsidR="00717F50">
        <w:t xml:space="preserve">Na </w:t>
      </w:r>
      <w:r w:rsidR="00047F7E">
        <w:t xml:space="preserve">het </w:t>
      </w:r>
      <w:r w:rsidR="00717F50">
        <w:t>aanlever</w:t>
      </w:r>
      <w:r w:rsidR="004C4B3C">
        <w:t>e</w:t>
      </w:r>
      <w:r w:rsidR="00717F50">
        <w:t xml:space="preserve">n van de versie </w:t>
      </w:r>
      <w:r w:rsidR="00AD2D99">
        <w:t xml:space="preserve">die </w:t>
      </w:r>
      <w:r w:rsidR="00AD5AC0">
        <w:t xml:space="preserve">het bevoegd gezag heeft vastgesteld </w:t>
      </w:r>
      <w:r w:rsidR="00C52A2B">
        <w:t xml:space="preserve">is </w:t>
      </w:r>
      <w:r w:rsidR="005A5B50">
        <w:t xml:space="preserve">voor een aantal </w:t>
      </w:r>
      <w:r w:rsidR="008C70CA">
        <w:t xml:space="preserve">instrumenten </w:t>
      </w:r>
      <w:r w:rsidR="00C52A2B">
        <w:t>de procedure afgelopen</w:t>
      </w:r>
      <w:r w:rsidR="00DB02E3">
        <w:t>.</w:t>
      </w:r>
      <w:r w:rsidR="00AE27BE">
        <w:t xml:space="preserve"> </w:t>
      </w:r>
      <w:r w:rsidR="00CD24C4">
        <w:t xml:space="preserve">In het geval van een </w:t>
      </w:r>
      <w:r w:rsidR="00A8354A">
        <w:t>besluit</w:t>
      </w:r>
      <w:r w:rsidR="00CD24C4">
        <w:t xml:space="preserve"> waartegen beroep kan worden ingesteld</w:t>
      </w:r>
      <w:r w:rsidR="00C52A2B">
        <w:t xml:space="preserve"> </w:t>
      </w:r>
      <w:r w:rsidR="008C70CA">
        <w:t>volg</w:t>
      </w:r>
      <w:r w:rsidR="00395FF2">
        <w:t xml:space="preserve">t </w:t>
      </w:r>
      <w:r w:rsidR="00362E9A">
        <w:t>nog een procedure</w:t>
      </w:r>
      <w:r w:rsidR="00491DD2">
        <w:t>gede</w:t>
      </w:r>
      <w:r w:rsidR="007B3068">
        <w:t>elte dat kan leiden tot wijziging</w:t>
      </w:r>
      <w:r w:rsidR="009315DB">
        <w:t xml:space="preserve">en in de </w:t>
      </w:r>
      <w:r w:rsidR="000D2D9E">
        <w:t>geldigheid</w:t>
      </w:r>
      <w:r w:rsidR="009315DB">
        <w:t xml:space="preserve"> en zelfs tot wijzigingen in </w:t>
      </w:r>
      <w:r w:rsidR="002A1447">
        <w:t xml:space="preserve">de inhoud van </w:t>
      </w:r>
      <w:r w:rsidR="00957EAA">
        <w:t xml:space="preserve">het </w:t>
      </w:r>
      <w:r w:rsidR="001F1F42">
        <w:t>besluit</w:t>
      </w:r>
      <w:r w:rsidR="00D61E3D">
        <w:t xml:space="preserve">. Een wijziging in de </w:t>
      </w:r>
      <w:r w:rsidR="000D2D9E" w:rsidRPr="000D2D9E">
        <w:t xml:space="preserve">geldigheid </w:t>
      </w:r>
      <w:r w:rsidR="00D61E3D">
        <w:t xml:space="preserve">kan zich </w:t>
      </w:r>
      <w:r w:rsidR="00070A75">
        <w:t xml:space="preserve">bijvoorbeeld </w:t>
      </w:r>
      <w:r w:rsidR="00D61E3D">
        <w:t xml:space="preserve">voordoen </w:t>
      </w:r>
      <w:r w:rsidR="009708C9">
        <w:t xml:space="preserve">wanneer een besluit naar aanleiding van een verzoek om voorlopige voorziening </w:t>
      </w:r>
      <w:r w:rsidR="001A4A67">
        <w:t xml:space="preserve">door de rechter </w:t>
      </w:r>
      <w:r w:rsidR="009708C9">
        <w:t xml:space="preserve">wordt geschorst. Een wijziging in </w:t>
      </w:r>
      <w:r w:rsidR="0019700D" w:rsidRPr="0019700D">
        <w:t xml:space="preserve">de inhoud </w:t>
      </w:r>
      <w:r w:rsidR="001A4A67">
        <w:t xml:space="preserve">is mogelijk wanneer de rechter </w:t>
      </w:r>
      <w:r w:rsidR="00797EC9">
        <w:t>een besluit geheel of gedeeltelijk vernietig</w:t>
      </w:r>
      <w:r w:rsidR="009A7953">
        <w:t>t</w:t>
      </w:r>
      <w:r w:rsidR="00797EC9">
        <w:t xml:space="preserve">, dan wel zelf in de zaak voorziend </w:t>
      </w:r>
      <w:r w:rsidR="00D73D2F">
        <w:t xml:space="preserve">het besluit </w:t>
      </w:r>
      <w:r w:rsidR="001C5426">
        <w:t>wijzigt.</w:t>
      </w:r>
      <w:r w:rsidR="000E1761">
        <w:t xml:space="preserve"> </w:t>
      </w:r>
      <w:r w:rsidR="008E759A">
        <w:t xml:space="preserve">Het </w:t>
      </w:r>
      <w:r w:rsidR="009B6B06">
        <w:t>uiteindelijke</w:t>
      </w:r>
      <w:r w:rsidR="00C75F0D">
        <w:t xml:space="preserve"> resultaat van </w:t>
      </w:r>
      <w:r w:rsidR="004021F0">
        <w:t xml:space="preserve">het hele proces </w:t>
      </w:r>
      <w:r w:rsidR="00481201">
        <w:t xml:space="preserve">is </w:t>
      </w:r>
      <w:r w:rsidR="00B830B8">
        <w:t xml:space="preserve">dat er </w:t>
      </w:r>
      <w:r w:rsidR="00481201">
        <w:t>een nieuwe Regeling</w:t>
      </w:r>
      <w:r w:rsidR="00AB1A14">
        <w:t xml:space="preserve"> </w:t>
      </w:r>
      <w:r w:rsidR="00B830B8">
        <w:t>ontstaat</w:t>
      </w:r>
      <w:r w:rsidR="00C53FDB">
        <w:t xml:space="preserve">, </w:t>
      </w:r>
      <w:r w:rsidR="00AB1A14">
        <w:t>of een nieuwe versie van een bestaande Regeling.</w:t>
      </w:r>
    </w:p>
    <w:p w14:paraId="1BEADF44" w14:textId="77777777" w:rsidR="00B65845" w:rsidRDefault="00B65845" w:rsidP="003947FD"/>
    <w:p w14:paraId="6B9B48E2" w14:textId="0041E326" w:rsidR="001F7CB3" w:rsidRDefault="00A228E9" w:rsidP="001F7CB3">
      <w:r w:rsidRPr="00A228E9">
        <w:t xml:space="preserve">Om </w:t>
      </w:r>
      <w:r w:rsidR="00A83554">
        <w:t xml:space="preserve">van </w:t>
      </w:r>
      <w:r w:rsidR="00A83554" w:rsidRPr="00A83554">
        <w:t xml:space="preserve">een omgevingsdocument </w:t>
      </w:r>
      <w:r w:rsidR="00F34EBE">
        <w:t xml:space="preserve">vast te leggen dat </w:t>
      </w:r>
      <w:r w:rsidRPr="00A228E9">
        <w:t>tekst, informatieobjecten</w:t>
      </w:r>
      <w:r>
        <w:t xml:space="preserve"> en IMOW-informatie </w:t>
      </w:r>
      <w:r w:rsidR="002C6345" w:rsidRPr="002C6345">
        <w:t>bij elkaar horen</w:t>
      </w:r>
      <w:r w:rsidR="002C6345">
        <w:t>,</w:t>
      </w:r>
      <w:r w:rsidR="002C6345" w:rsidRPr="002C6345">
        <w:t xml:space="preserve"> </w:t>
      </w:r>
      <w:r w:rsidR="00250FBC" w:rsidRPr="00250FBC">
        <w:t>gedurende alle stadia van het proces van concipiëren, voorbereidingsprocedure, besluitvorming, bekendmaken en consolideren</w:t>
      </w:r>
      <w:r w:rsidR="00332663">
        <w:t xml:space="preserve">, </w:t>
      </w:r>
      <w:r w:rsidR="00332663" w:rsidRPr="00332663">
        <w:t>is een unieke identificatie nodig</w:t>
      </w:r>
      <w:r w:rsidR="007621AE">
        <w:t xml:space="preserve">. De </w:t>
      </w:r>
      <w:r w:rsidR="007621AE" w:rsidRPr="007621AE">
        <w:t>STOP/TPOD-standaard</w:t>
      </w:r>
      <w:r w:rsidR="007621AE">
        <w:t xml:space="preserve"> </w:t>
      </w:r>
      <w:r w:rsidR="007621AE" w:rsidRPr="007621AE">
        <w:t>noemt die identificatie Doel</w:t>
      </w:r>
      <w:r w:rsidR="007621AE">
        <w:t xml:space="preserve">. </w:t>
      </w:r>
      <w:r w:rsidR="00AF0D5B">
        <w:t xml:space="preserve">De term </w:t>
      </w:r>
      <w:r w:rsidR="00020324">
        <w:t>D</w:t>
      </w:r>
      <w:r w:rsidR="001F7CB3">
        <w:t xml:space="preserve">oel </w:t>
      </w:r>
      <w:r w:rsidR="00690D78">
        <w:t xml:space="preserve">is afgeleid van het </w:t>
      </w:r>
      <w:r w:rsidR="00317778">
        <w:t xml:space="preserve">doel dat </w:t>
      </w:r>
      <w:r w:rsidR="00860E72">
        <w:t xml:space="preserve">het bevoegd gezag voor ogen heeft als aanleiding </w:t>
      </w:r>
      <w:r w:rsidR="001F7CB3">
        <w:t xml:space="preserve">voor de introductie van </w:t>
      </w:r>
      <w:r w:rsidR="00885ECB">
        <w:t xml:space="preserve">een </w:t>
      </w:r>
      <w:r w:rsidR="00664991" w:rsidRPr="00664991">
        <w:t xml:space="preserve">specifiek </w:t>
      </w:r>
      <w:r w:rsidR="001F7CB3">
        <w:t xml:space="preserve">nieuw </w:t>
      </w:r>
      <w:r w:rsidR="00885ECB">
        <w:t xml:space="preserve">omgevingsdocument of wijziging daarvan </w:t>
      </w:r>
      <w:r w:rsidR="001F7CB3">
        <w:t xml:space="preserve">op één moment in de tijd. </w:t>
      </w:r>
      <w:r w:rsidR="0009254D">
        <w:t>Voor degenen die met de RO-Standaarden en IMRO bekend zijn</w:t>
      </w:r>
      <w:r w:rsidR="006D1B79">
        <w:t xml:space="preserve"> is</w:t>
      </w:r>
      <w:r w:rsidR="00B55AFE">
        <w:t xml:space="preserve"> Doel </w:t>
      </w:r>
      <w:r w:rsidR="00C01F5C">
        <w:t xml:space="preserve">enigszins </w:t>
      </w:r>
      <w:r w:rsidR="00B55AFE">
        <w:t xml:space="preserve">vergelijkbaar met </w:t>
      </w:r>
      <w:r w:rsidR="00B625FC">
        <w:t xml:space="preserve">het </w:t>
      </w:r>
      <w:r w:rsidR="00082315">
        <w:t>d</w:t>
      </w:r>
      <w:r w:rsidR="00B625FC">
        <w:t>ossier</w:t>
      </w:r>
      <w:r w:rsidR="00082315">
        <w:t xml:space="preserve">nummer </w:t>
      </w:r>
      <w:r w:rsidR="002E39E9">
        <w:t xml:space="preserve">oftewel de IMRO-code </w:t>
      </w:r>
      <w:r w:rsidR="0008337F">
        <w:t>van een plan of besluit op grond van de Wet ruimtelijke ordening.</w:t>
      </w:r>
    </w:p>
    <w:p w14:paraId="6974A6A2" w14:textId="50897395" w:rsidR="00CC1672" w:rsidRDefault="001F7CB3" w:rsidP="001F7CB3">
      <w:r>
        <w:t>Doel</w:t>
      </w:r>
      <w:r w:rsidR="005A5201">
        <w:t xml:space="preserve"> </w:t>
      </w:r>
      <w:r w:rsidR="00B643EC">
        <w:t xml:space="preserve">wordt in STOP gedefinieerd als </w:t>
      </w:r>
      <w:r w:rsidR="005A5201">
        <w:t>de i</w:t>
      </w:r>
      <w:r>
        <w:t xml:space="preserve">dentificatie van </w:t>
      </w:r>
      <w:r w:rsidR="008B30EA">
        <w:t xml:space="preserve">een </w:t>
      </w:r>
      <w:r>
        <w:t xml:space="preserve">nieuw </w:t>
      </w:r>
      <w:r w:rsidR="00D37A17">
        <w:t xml:space="preserve">omgevingsdocument </w:t>
      </w:r>
      <w:r>
        <w:t xml:space="preserve">of </w:t>
      </w:r>
      <w:r w:rsidR="00D37A17">
        <w:t xml:space="preserve">de wijziging daarvan </w:t>
      </w:r>
      <w:r>
        <w:t>met één moment van inwerkingtreding</w:t>
      </w:r>
      <w:r w:rsidR="00834A22">
        <w:t xml:space="preserve"> en</w:t>
      </w:r>
      <w:r>
        <w:t xml:space="preserve"> één </w:t>
      </w:r>
      <w:r w:rsidR="00A70638">
        <w:t>(</w:t>
      </w:r>
      <w:r w:rsidR="00834A22">
        <w:t>beoogd</w:t>
      </w:r>
      <w:r w:rsidR="00A70638">
        <w:t>)</w:t>
      </w:r>
      <w:r w:rsidR="00834A22">
        <w:t xml:space="preserve"> </w:t>
      </w:r>
      <w:r>
        <w:t>moment waarop de regelgeving geldig wordt.</w:t>
      </w:r>
      <w:r w:rsidR="00E53463">
        <w:t xml:space="preserve"> </w:t>
      </w:r>
      <w:r w:rsidR="00CC1672" w:rsidRPr="00CC1672">
        <w:t>De LVBB gebruikt het Doel om de consolidatie van omgevingsdocumenten te sturen.</w:t>
      </w:r>
    </w:p>
    <w:p w14:paraId="18459B52" w14:textId="5AE0499B" w:rsidR="001F7CB3" w:rsidRDefault="000E0938" w:rsidP="001F7CB3">
      <w:r>
        <w:t xml:space="preserve">Wanneer </w:t>
      </w:r>
      <w:r w:rsidRPr="000E0938">
        <w:t>het bevoegd gezag</w:t>
      </w:r>
      <w:r>
        <w:t xml:space="preserve"> </w:t>
      </w:r>
      <w:r w:rsidR="00CC49A5" w:rsidRPr="00CC49A5">
        <w:t>constateert dat er</w:t>
      </w:r>
      <w:r w:rsidR="00CC49A5">
        <w:t xml:space="preserve"> </w:t>
      </w:r>
      <w:r w:rsidR="00CC49A5" w:rsidRPr="00CC49A5">
        <w:t>een nieuw omgevingsdocument</w:t>
      </w:r>
      <w:r w:rsidR="00CC49A5">
        <w:t xml:space="preserve"> nodig is</w:t>
      </w:r>
      <w:r w:rsidR="00CE11FA">
        <w:t xml:space="preserve">, of dat een bestaand omgevingsdocument gewijzigd moet worden, </w:t>
      </w:r>
      <w:r w:rsidR="007357C0">
        <w:t>en de ideeën daarover zodanig concreet zijn dat gestart kan worden met het opstellen ervan, maakt het een nieuw</w:t>
      </w:r>
      <w:r w:rsidR="0068508A">
        <w:t>e Regelingversie met een nieuw</w:t>
      </w:r>
      <w:r w:rsidR="007357C0">
        <w:t xml:space="preserve"> Doel oftewel identificatie aan. </w:t>
      </w:r>
      <w:r w:rsidR="00D871C4">
        <w:t xml:space="preserve">Afhankelijk van de gebruikte software kan </w:t>
      </w:r>
      <w:r w:rsidR="004A7FEE">
        <w:t xml:space="preserve">het bevoegd gezag </w:t>
      </w:r>
      <w:r w:rsidR="00523251">
        <w:t xml:space="preserve">het aanmaken van </w:t>
      </w:r>
      <w:r w:rsidR="00BE793D">
        <w:t>de identificatie</w:t>
      </w:r>
      <w:r w:rsidR="004A7FEE">
        <w:t xml:space="preserve"> aan de software overlaten.</w:t>
      </w:r>
      <w:r w:rsidR="007942AA">
        <w:t xml:space="preserve"> </w:t>
      </w:r>
      <w:r w:rsidR="001F7CB3">
        <w:t xml:space="preserve">Alles wat nodig is om </w:t>
      </w:r>
      <w:r w:rsidR="00947C5D">
        <w:t xml:space="preserve">de </w:t>
      </w:r>
      <w:r w:rsidR="00C840B8">
        <w:t xml:space="preserve">versie van de </w:t>
      </w:r>
      <w:r w:rsidR="00947C5D">
        <w:t xml:space="preserve">Regeling van </w:t>
      </w:r>
      <w:r w:rsidR="00CE2480">
        <w:t xml:space="preserve">het omgevingsdocument vast te leggen en </w:t>
      </w:r>
      <w:r w:rsidR="001F7CB3">
        <w:t xml:space="preserve">te beschrijven wordt aan een </w:t>
      </w:r>
      <w:r w:rsidR="00CE2480">
        <w:t>D</w:t>
      </w:r>
      <w:r w:rsidR="001F7CB3">
        <w:t>oel gekoppeld:</w:t>
      </w:r>
    </w:p>
    <w:p w14:paraId="4164485E" w14:textId="2128C19D" w:rsidR="001F7CB3" w:rsidRDefault="001F7CB3" w:rsidP="000A2FA4">
      <w:pPr>
        <w:pStyle w:val="Opsommingtekens1"/>
      </w:pPr>
      <w:r>
        <w:t xml:space="preserve">één versie van de tekst (inclusief afbeeldingen en dergelijke) voor </w:t>
      </w:r>
      <w:r w:rsidR="00474087">
        <w:t>het</w:t>
      </w:r>
      <w:r>
        <w:t xml:space="preserve"> </w:t>
      </w:r>
      <w:r w:rsidR="00BA6CC4">
        <w:t xml:space="preserve">omgevingsdocument </w:t>
      </w:r>
      <w:r>
        <w:t>d</w:t>
      </w:r>
      <w:r w:rsidR="00BA6CC4">
        <w:t>at</w:t>
      </w:r>
      <w:r>
        <w:t xml:space="preserve"> moet ontstaan of </w:t>
      </w:r>
      <w:r w:rsidR="00D832AF" w:rsidRPr="00D832AF">
        <w:t xml:space="preserve">wordt </w:t>
      </w:r>
      <w:r>
        <w:t xml:space="preserve">gewijzigd </w:t>
      </w:r>
      <w:r w:rsidR="00474087">
        <w:t xml:space="preserve">(of eventueel </w:t>
      </w:r>
      <w:r w:rsidR="00FA2B48" w:rsidRPr="00FA2B48">
        <w:t>één versie van de tekst</w:t>
      </w:r>
      <w:r w:rsidR="00FA2B48">
        <w:t xml:space="preserve"> voor elk omgevingsdocument dat </w:t>
      </w:r>
      <w:r w:rsidR="00BA46B6">
        <w:t xml:space="preserve">moet ontstaan of gewijzigd wordt in het geval </w:t>
      </w:r>
      <w:r w:rsidR="00E73933">
        <w:t xml:space="preserve">het besluit meerdere </w:t>
      </w:r>
      <w:r w:rsidR="00151390">
        <w:t>omgevingsdocumenten</w:t>
      </w:r>
      <w:r w:rsidR="00E73933">
        <w:t xml:space="preserve"> wijzigt</w:t>
      </w:r>
      <w:r w:rsidR="00151390">
        <w:t>)</w:t>
      </w:r>
      <w:r>
        <w:t>;</w:t>
      </w:r>
    </w:p>
    <w:p w14:paraId="3F39251A" w14:textId="66C3761C" w:rsidR="001F7CB3" w:rsidRDefault="001F7CB3" w:rsidP="000A2FA4">
      <w:pPr>
        <w:pStyle w:val="Opsommingtekens1"/>
      </w:pPr>
      <w:r>
        <w:t xml:space="preserve">één versie van elk informatieobject dat onderdeel is van </w:t>
      </w:r>
      <w:r w:rsidR="00EF1DAD">
        <w:t xml:space="preserve">het </w:t>
      </w:r>
      <w:r>
        <w:t xml:space="preserve">nieuwe of gewijzigde </w:t>
      </w:r>
      <w:r w:rsidR="00EF1DAD">
        <w:t>omgevingsdocument</w:t>
      </w:r>
      <w:r>
        <w:t>;</w:t>
      </w:r>
    </w:p>
    <w:p w14:paraId="0E511FF4" w14:textId="0188BC7A" w:rsidR="001F7CB3" w:rsidRDefault="001F7CB3" w:rsidP="000A2FA4">
      <w:pPr>
        <w:pStyle w:val="Opsommingtekens1"/>
      </w:pPr>
      <w:r>
        <w:lastRenderedPageBreak/>
        <w:t xml:space="preserve">één versie van de </w:t>
      </w:r>
      <w:r w:rsidR="006E20C2">
        <w:t>IMOW-</w:t>
      </w:r>
      <w:r>
        <w:t>informatie</w:t>
      </w:r>
      <w:r w:rsidR="000957D0">
        <w:t xml:space="preserve"> die hoort bij </w:t>
      </w:r>
      <w:r w:rsidR="000957D0" w:rsidRPr="000957D0">
        <w:t>het nieuwe of gewijzigde omgevingsdocument</w:t>
      </w:r>
      <w:r>
        <w:t>.</w:t>
      </w:r>
    </w:p>
    <w:p w14:paraId="70DFF45E" w14:textId="77777777" w:rsidR="007621AE" w:rsidRDefault="007621AE" w:rsidP="001F7CB3"/>
    <w:p w14:paraId="7E422F57" w14:textId="2BEB92AC" w:rsidR="00E6352A" w:rsidRDefault="00E6352A" w:rsidP="001F7CB3">
      <w:r>
        <w:t xml:space="preserve">Ten behoeve van de publicatie of bekendmaking genereert de software </w:t>
      </w:r>
      <w:r w:rsidR="001C6B65">
        <w:t>van het be</w:t>
      </w:r>
      <w:r w:rsidR="00194668">
        <w:t xml:space="preserve">voegd gezag </w:t>
      </w:r>
      <w:r w:rsidR="00C875AE">
        <w:t xml:space="preserve">een besluitversie </w:t>
      </w:r>
      <w:r w:rsidR="009A4FFA">
        <w:t xml:space="preserve">die, met de mutatie-informatie, wordt aangeleverd aan de LVBB. </w:t>
      </w:r>
      <w:r w:rsidR="00F10615">
        <w:t xml:space="preserve">Bij een </w:t>
      </w:r>
      <w:r w:rsidR="00F01D1D">
        <w:t xml:space="preserve">Doel </w:t>
      </w:r>
      <w:r w:rsidR="003427A5">
        <w:t xml:space="preserve">oftewel identificatie van een versie </w:t>
      </w:r>
      <w:r w:rsidR="0065759A">
        <w:t xml:space="preserve">van regelgeving </w:t>
      </w:r>
      <w:r w:rsidR="00F01D1D">
        <w:t xml:space="preserve">kunnen dus </w:t>
      </w:r>
      <w:r w:rsidR="003427A5">
        <w:t xml:space="preserve">in de loop van de procedure </w:t>
      </w:r>
      <w:r w:rsidR="00F01D1D">
        <w:t xml:space="preserve">meerdere </w:t>
      </w:r>
      <w:r w:rsidR="003427A5">
        <w:t>besluitversies worden aangeleverd</w:t>
      </w:r>
      <w:r w:rsidR="007E6CFB">
        <w:t>.</w:t>
      </w:r>
    </w:p>
    <w:p w14:paraId="34D6028D" w14:textId="4B942623" w:rsidR="0011689F" w:rsidRDefault="0011689F" w:rsidP="001F7CB3"/>
    <w:p w14:paraId="020E345A" w14:textId="77777777" w:rsidR="00D7789A" w:rsidRPr="00FE008A" w:rsidRDefault="00D7789A" w:rsidP="00D7789A">
      <w:r w:rsidRPr="00FE008A">
        <w:t xml:space="preserve">Zoals gezegd is Doel de identificatie van een nieuw omgevingsdocument of de wijziging daarvan met één moment van inwerkingtreding. </w:t>
      </w:r>
      <w:r w:rsidRPr="0092301F">
        <w:t>De LVBB gebruikt Doel om de consolidatie van omgevingsdocumenten te sturen</w:t>
      </w:r>
      <w:r w:rsidRPr="00FE008A">
        <w:t xml:space="preserve">: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w:t>
      </w:r>
      <w:r w:rsidRPr="00460031">
        <w:t>Ieder Doel hoort bij een instrumentversie van regeling en de bijbehorende geografische informatieobjecten</w:t>
      </w:r>
      <w:r w:rsidRPr="00FE008A">
        <w:t>. Een voorbeeld: Provinciale staten stellen bij besluit van 28 januari 2024 een wijziging van de omgevingsverordenin</w:t>
      </w:r>
      <w:r w:rsidRPr="0092301F">
        <w:t>g vast. Hiervan treden 10 onderdelen op 12 februari in werking, de resterende onderdelen treden op 24 maart in werking. De onderdelen die op 12 februari in werking treden</w:t>
      </w:r>
      <w:r w:rsidRPr="00460031">
        <w:t>, worden in één RegelingVersie ondergebracht en</w:t>
      </w:r>
      <w:r w:rsidRPr="00FE008A">
        <w:t xml:space="preserve"> krijgen Doel X, de onderdelen die op 24 maart in werking treden </w:t>
      </w:r>
      <w:r w:rsidRPr="00460031">
        <w:t>worden in een andere RegelingVersie ondergebracht en</w:t>
      </w:r>
      <w:r w:rsidRPr="00FE008A">
        <w:t xml:space="preserve"> krijgen Doel Y. Een besluit met verschillende inwerkingtredingsmomenten voor verschillende onderdelen zou zich bijvoorbeeld kunnen voordoen wanneer het dagelijks bestuur een be</w:t>
      </w:r>
      <w:r w:rsidRPr="0092301F">
        <w:t xml:space="preserve">sluit heeft voorbereid en vervolgens aan het algemeen bestuur voorlegt, waarna dat algemeen bestuur besluit niet alle onderdelen tegelijkertijd in werking te laten treden. </w:t>
      </w:r>
      <w:r w:rsidRPr="00460031">
        <w:t>Zoals hiervoor beschreven noodzaakt dat er toe om verschillende RegelingVersies te maken.</w:t>
      </w:r>
      <w:r w:rsidRPr="00FE008A">
        <w:t xml:space="preserve"> Uiteraard kunnen zich dit soort uitzonderingen voordoen, maar in zijn algemeenheid wordt aanbevolen (</w:t>
      </w:r>
      <w:r w:rsidRPr="00460031">
        <w:t>en soms is dat noodzakelijk)</w:t>
      </w:r>
      <w:r w:rsidRPr="00FE008A">
        <w:t xml:space="preserve"> om in één besluit alleen onderdelen met eenzelfde inwerkingtredingsdatum op te nemen. </w:t>
      </w:r>
      <w:r w:rsidRPr="00460031">
        <w:t>Om diezelfde reden wordt ook aanbevolen om bijtijds na te denken over welke wijzigingen gecombineerd worden, zodat ze direct in één RegelingVersie met één Doel samengebracht kunnen worden.</w:t>
      </w:r>
    </w:p>
    <w:p w14:paraId="75FB179D" w14:textId="77777777" w:rsidR="00D7789A" w:rsidRPr="00FE008A" w:rsidRDefault="00D7789A" w:rsidP="00D7789A">
      <w:r w:rsidRPr="0092301F">
        <w:t xml:space="preserve">De mogelijkheid bestaat dat er twee besluiten zijn voorbereid met ieder een eigen Doel omdat de verwachting was dat ze niet gelijktijdig in werking zouden </w:t>
      </w:r>
      <w:r w:rsidRPr="00FE008A">
        <w:t>treden, waarover toch gelijktijdig besluitvorming plaatsvindt waarna ze tegelijkertijd in werking kunnen treden. Het is dan niet nodig om de Doelen samen te voegen tot 1 Doel.</w:t>
      </w:r>
    </w:p>
    <w:p w14:paraId="3CC5E7B6" w14:textId="77777777" w:rsidR="00D7789A" w:rsidRPr="00FE008A" w:rsidRDefault="00D7789A" w:rsidP="00D7789A"/>
    <w:p w14:paraId="3AD7ED2D" w14:textId="6D4747E2" w:rsidR="0044672B" w:rsidRPr="00FE008A" w:rsidRDefault="00D7789A" w:rsidP="00D7789A">
      <w:r w:rsidRPr="00FE008A">
        <w:t>De identificatie van Doel wordt door de bronhouder bepaald en dient te voldoen aan de eisen die STOP daaraan stelt. De volledige eisen zijn te vinden in de STOP-documentatie.</w:t>
      </w:r>
    </w:p>
    <w:p w14:paraId="1746C1F5" w14:textId="08B2A6DA" w:rsidR="00D7789A" w:rsidRPr="00FE008A" w:rsidRDefault="00D7789A" w:rsidP="00D7789A">
      <w:r w:rsidRPr="00FE008A">
        <w:t>STOP stelt aan de identificatie de volgende eisen:</w:t>
      </w:r>
    </w:p>
    <w:p w14:paraId="108B93EC" w14:textId="77777777" w:rsidR="00D7789A" w:rsidRPr="00460031" w:rsidRDefault="00D7789A" w:rsidP="00D7789A">
      <w:pPr>
        <w:pStyle w:val="Opsommingtekens1"/>
      </w:pPr>
      <w:r w:rsidRPr="00460031">
        <w:t>de identificatie moet het volgende patroon volgen: /join/id/proces/" &lt;overheid&gt; "/" &lt;datum&gt; "/" &lt;overig&gt;</w:t>
      </w:r>
    </w:p>
    <w:p w14:paraId="55B675E3" w14:textId="77777777" w:rsidR="00D7789A" w:rsidRPr="00460031" w:rsidRDefault="00D7789A" w:rsidP="00D7789A">
      <w:pPr>
        <w:pStyle w:val="Opsommingtekens1"/>
      </w:pPr>
      <w:r w:rsidRPr="00460031">
        <w:t>overheid: code van het bevoegde gezag volgens één van de waardelijsten voor Overheid</w:t>
      </w:r>
    </w:p>
    <w:p w14:paraId="53D5654C" w14:textId="77777777" w:rsidR="00D7789A" w:rsidRPr="00460031" w:rsidRDefault="00D7789A" w:rsidP="00D7789A">
      <w:pPr>
        <w:pStyle w:val="Opsommingtekens1"/>
      </w:pPr>
      <w:r w:rsidRPr="00460031">
        <w:t>datum: datum van het ontstaan van het doel; dit mag een jaartal of een volledige datum zijn</w:t>
      </w:r>
    </w:p>
    <w:p w14:paraId="3C9BFAAA" w14:textId="77777777" w:rsidR="00D7789A" w:rsidRPr="00460031" w:rsidRDefault="00D7789A" w:rsidP="00D7789A">
      <w:pPr>
        <w:pStyle w:val="Opsommingtekens1"/>
      </w:pPr>
      <w:r w:rsidRPr="00460031">
        <w:t>overig: door het bevoegd gezag te bepalen; dit kan een betekenisloze code zijn of een betekenisvolle tekstuele beschrijving van (het resultaat van) het doel. Hiervoor gelden de volgende eisen:</w:t>
      </w:r>
    </w:p>
    <w:p w14:paraId="46EC0E5E" w14:textId="77777777" w:rsidR="00D7789A" w:rsidRPr="00460031" w:rsidRDefault="00D7789A" w:rsidP="00D7789A">
      <w:pPr>
        <w:pStyle w:val="Opsommingtekens2"/>
      </w:pPr>
      <w:r w:rsidRPr="00460031">
        <w:t>alleen toegestaan: boven- en onderkast letters, cijfers en underscore;</w:t>
      </w:r>
    </w:p>
    <w:p w14:paraId="68F01858" w14:textId="77777777" w:rsidR="00D7789A" w:rsidRPr="00460031" w:rsidRDefault="00D7789A" w:rsidP="00D7789A">
      <w:pPr>
        <w:pStyle w:val="Opsommingtekens2"/>
      </w:pPr>
      <w:r w:rsidRPr="00460031">
        <w:t>te beginnen met een cijfer of letter;</w:t>
      </w:r>
    </w:p>
    <w:p w14:paraId="5DE2CCE5" w14:textId="77777777" w:rsidR="00D7789A" w:rsidRPr="00460031" w:rsidRDefault="00D7789A" w:rsidP="00D7789A">
      <w:pPr>
        <w:pStyle w:val="Opsommingtekens2"/>
      </w:pPr>
      <w:r w:rsidRPr="00460031">
        <w:t>maximale lengte:128 karakters.</w:t>
      </w:r>
    </w:p>
    <w:p w14:paraId="1D3E8AC6" w14:textId="7F62043D" w:rsidR="005C05B5" w:rsidRDefault="0002706E" w:rsidP="005C05B5">
      <w:r>
        <w:lastRenderedPageBreak/>
        <w:t>Twee v</w:t>
      </w:r>
      <w:r w:rsidR="005C05B5">
        <w:t>oorbeeld</w:t>
      </w:r>
      <w:r>
        <w:t>en</w:t>
      </w:r>
      <w:r w:rsidR="005C05B5">
        <w:t>:</w:t>
      </w:r>
    </w:p>
    <w:p w14:paraId="3F88DDBA" w14:textId="4496074A" w:rsidR="005C05B5" w:rsidRDefault="00BB6537" w:rsidP="00BB6537">
      <w:pPr>
        <w:pStyle w:val="Opsommingtekens1"/>
      </w:pPr>
      <w:r w:rsidRPr="00BB6537">
        <w:t>het Doel van de Instelling van de Omgevingsregeling door het Ministerie van BZK</w:t>
      </w:r>
      <w:r>
        <w:t xml:space="preserve">: </w:t>
      </w:r>
      <w:r w:rsidR="005C05B5">
        <w:t>/join/id/proces/mnre1034/2019/InstellingOmgevingsregeling</w:t>
      </w:r>
    </w:p>
    <w:p w14:paraId="4AA28A8F" w14:textId="398CCABA" w:rsidR="005612E3" w:rsidRDefault="005612E3" w:rsidP="000A2FA4">
      <w:pPr>
        <w:pStyle w:val="Opsommingtekens1"/>
      </w:pPr>
      <w:r>
        <w:t xml:space="preserve">het Doel van </w:t>
      </w:r>
      <w:r w:rsidR="00A404A1">
        <w:t>een</w:t>
      </w:r>
      <w:r w:rsidR="00C779C2">
        <w:t xml:space="preserve"> wijziging van </w:t>
      </w:r>
      <w:r w:rsidR="001645A5">
        <w:t>de</w:t>
      </w:r>
      <w:r w:rsidR="00C779C2">
        <w:t xml:space="preserve"> waterschapsverordening</w:t>
      </w:r>
      <w:r w:rsidR="001645A5">
        <w:t xml:space="preserve"> van het Waterschap Vallei en Veluwe</w:t>
      </w:r>
      <w:r w:rsidR="00C779C2">
        <w:t>:</w:t>
      </w:r>
      <w:r w:rsidR="00C779C2">
        <w:br/>
      </w:r>
      <w:r w:rsidR="00C779C2" w:rsidRPr="00C779C2">
        <w:t>/join/id/proces/</w:t>
      </w:r>
      <w:r w:rsidR="007A1E7D" w:rsidRPr="007A1E7D">
        <w:t>ws0662</w:t>
      </w:r>
      <w:r w:rsidR="00C779C2" w:rsidRPr="00C779C2">
        <w:t>/20</w:t>
      </w:r>
      <w:r w:rsidR="00C779C2">
        <w:t>23</w:t>
      </w:r>
      <w:r w:rsidR="00C779C2" w:rsidRPr="00C779C2">
        <w:t>/</w:t>
      </w:r>
      <w:r w:rsidR="00C779C2">
        <w:t>waterschapsverordening</w:t>
      </w:r>
      <w:r w:rsidR="00B64DDD">
        <w:t>_</w:t>
      </w:r>
      <w:r w:rsidR="00C779C2">
        <w:t>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