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77777777" w:rsidR="00C34A7B" w:rsidRPr="00F62F31" w:rsidRDefault="00590129" w:rsidP="00C34A7B">
      <w:pPr>
        <w:pStyle w:val="Kop3"/>
      </w:pPr>
      <w:r w:rsidRPr="00F62F31">
        <w:t>Leeswijzer</w:t>
      </w:r>
    </w:p>
    <w:p w14:paraId="008079E6" w14:textId="2F4F0EE7" w:rsidR="00C34A7B" w:rsidRDefault="00590129" w:rsidP="00C34A7B">
      <w:r>
        <w:t xml:space="preserve">Dit document is in drie delen verdeeld. Deel </w:t>
      </w:r>
      <w:r w:rsidRPr="00AB1800">
        <w:rPr>
          <w:rStyle w:val="Verwijzing"/>
        </w:rPr>
        <w:fldChar w:fldCharType="begin"/>
      </w:r>
      <w:r w:rsidRPr="00AB1800">
        <w:rPr>
          <w:rStyle w:val="Verwijzing"/>
        </w:rPr>
        <w:instrText xml:space="preserve"> REF _Ref_70b07588f5bcccc211add9f1c3903d72_1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A</w:t>
      </w:r>
      <w:r w:rsidRPr="00AB1800">
        <w:rPr>
          <w:rStyle w:val="Verwijzing"/>
        </w:rPr>
        <w:fldChar w:fldCharType="end"/>
      </w:r>
      <w:r>
        <w:t xml:space="preserve"> beschrijft de uitgangspunten voor de modellering. In dit eerste hoofdstuk zijn de </w:t>
      </w:r>
      <w:r w:rsidRPr="00F62F31">
        <w:t xml:space="preserve">doelstellingen van de Omgevingswet en </w:t>
      </w:r>
      <w:r>
        <w:t xml:space="preserve">DSO-LV en de werking van LVBB en overheid.nl </w:t>
      </w:r>
      <w:r w:rsidRPr="00F62F31">
        <w:t xml:space="preserve">op hoofdlijnen toegelicht. Daarmee is het bredere kader en het doel van het TPOD geschetst. </w:t>
      </w:r>
      <w:r>
        <w:t xml:space="preserve">Hoofdstuk </w:t>
      </w:r>
      <w:r w:rsidRPr="00AB1800">
        <w:rPr>
          <w:rStyle w:val="Verwijzing"/>
        </w:rPr>
        <w:fldChar w:fldCharType="begin"/>
      </w:r>
      <w:r w:rsidRPr="00AB1800">
        <w:rPr>
          <w:rStyle w:val="Verwijzing"/>
        </w:rPr>
        <w:instrText xml:space="preserve"> REF _Ref_6a8401dc4f8da8deeff859a796c6846a_1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2</w:t>
      </w:r>
      <w:r w:rsidRPr="00AB1800">
        <w:rPr>
          <w:rStyle w:val="Verwijzing"/>
        </w:rPr>
        <w:fldChar w:fldCharType="end"/>
      </w:r>
      <w:r>
        <w:t xml:space="preserve"> beschrijft de juridische, inhoudelijke en procedurele aspecten van </w:t>
      </w:r>
      <w:r>
        <w:fldChar w:fldCharType="begin"/>
      </w:r>
      <w:r>
        <w:instrText>DOCVARIABLE ID01+</w:instrText>
      </w:r>
      <w:r>
        <w:fldChar w:fldCharType="separate"/>
      </w:r>
      <w:r w:rsidR="00987731">
        <w:t>de omgevingsverordening</w:t>
      </w:r>
      <w:r>
        <w:fldChar w:fldCharType="end"/>
      </w:r>
      <w:r>
        <w:t xml:space="preserve"> en -waar relevant- andere instrumenten die op </w:t>
      </w:r>
      <w:r>
        <w:fldChar w:fldCharType="begin"/>
      </w:r>
      <w:r>
        <w:instrText>DOCVARIABLE ID01+</w:instrText>
      </w:r>
      <w:r>
        <w:fldChar w:fldCharType="separate"/>
      </w:r>
      <w:r w:rsidR="00987731">
        <w:t>de omgevingsverordening</w:t>
      </w:r>
      <w:r>
        <w:fldChar w:fldCharType="end"/>
      </w:r>
      <w:r>
        <w:t xml:space="preserve"> inwerken. Ook het </w:t>
      </w:r>
      <w:r w:rsidRPr="00232240">
        <w:t xml:space="preserve">overgangsrecht en </w:t>
      </w:r>
      <w:r>
        <w:t xml:space="preserve">de eventuele overgangsfase na inwerkingtreden van de Omgevingswet komt aan de orde. Hoofdstuk </w:t>
      </w:r>
      <w:r w:rsidR="00B3741C" w:rsidRPr="00AB1800">
        <w:rPr>
          <w:rStyle w:val="Verwijzing"/>
        </w:rPr>
        <w:fldChar w:fldCharType="begin"/>
      </w:r>
      <w:r w:rsidR="00B3741C" w:rsidRPr="00AB1800">
        <w:rPr>
          <w:rStyle w:val="Verwijzing"/>
        </w:rPr>
        <w:instrText xml:space="preserve"> REF _Ref_569c98ec085e9075670077cf403fa0a3_1 \n \h </w:instrText>
      </w:r>
      <w:r w:rsidR="00B3741C" w:rsidRPr="00AB1800">
        <w:rPr>
          <w:rStyle w:val="Verwijzing"/>
        </w:rPr>
      </w:r>
      <w:r w:rsidR="00B3741C" w:rsidRPr="00AB1800">
        <w:rPr>
          <w:rStyle w:val="Verwijzing"/>
        </w:rPr>
        <w:fldChar w:fldCharType="separate"/>
      </w:r>
      <w:r w:rsidR="00987731" w:rsidRPr="00AB1800">
        <w:rPr>
          <w:rStyle w:val="Verwijzing"/>
        </w:rPr>
        <w:t>3</w:t>
      </w:r>
      <w:r w:rsidR="00B3741C" w:rsidRPr="00AB1800">
        <w:rPr>
          <w:rStyle w:val="Verwijzing"/>
        </w:rPr>
        <w:fldChar w:fldCharType="end"/>
      </w:r>
      <w:r>
        <w:t xml:space="preserve"> gaat in op de belangrijkste uitgangspunten voor de toepassingsprofielen. Ingegaan wordt op het proces van totstandkoming en bekendmaking, het verschil tussen omgevingsdocumenten met en omgevingsdocumenten zonder regels, het verschil tussen een initieel besluit, een wijzigingsbesluit en de </w:t>
      </w:r>
      <w:r w:rsidDel="008B7535">
        <w:t xml:space="preserve">geconsolideerde </w:t>
      </w:r>
      <w:r>
        <w:t xml:space="preserve">Regeling van </w:t>
      </w:r>
      <w:r>
        <w:fldChar w:fldCharType="begin"/>
      </w:r>
      <w:r>
        <w:instrText>DOCVARIABLE ID01+</w:instrText>
      </w:r>
      <w:r>
        <w:fldChar w:fldCharType="separate"/>
      </w:r>
      <w:r w:rsidR="00987731">
        <w:t>de omgevingsverordening</w:t>
      </w:r>
      <w:r>
        <w:fldChar w:fldCharType="end"/>
      </w:r>
      <w:r>
        <w:t>; daarna worden de hoofdlijnen van annoteren, waardelijsten en Presentatiemodel toegelicht. Vervolgens wordt het onderwerp metadata kort benoemd. Tot slot wordt ingegaan op het proces van plan tot publicatie.</w:t>
      </w:r>
    </w:p>
    <w:p w14:paraId="2EDC3BB7" w14:textId="77777777" w:rsidR="00C34A7B" w:rsidRDefault="00C34A7B" w:rsidP="00C34A7B"/>
    <w:p w14:paraId="5AFEC3CB" w14:textId="1905DA42" w:rsidR="00C34A7B" w:rsidRDefault="00590129" w:rsidP="00C34A7B">
      <w:r>
        <w:lastRenderedPageBreak/>
        <w:t xml:space="preserve">Deel </w:t>
      </w:r>
      <w:r w:rsidRPr="00AB1800">
        <w:rPr>
          <w:rStyle w:val="Verwijzing"/>
        </w:rPr>
        <w:fldChar w:fldCharType="begin"/>
      </w:r>
      <w:r w:rsidRPr="00AB1800">
        <w:rPr>
          <w:rStyle w:val="Verwijzing"/>
        </w:rPr>
        <w:instrText xml:space="preserve"> REF _Ref_d61e4c5d855e19a5120096480cd2a748_1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B</w:t>
      </w:r>
      <w:r w:rsidRPr="00AB1800">
        <w:rPr>
          <w:rStyle w:val="Verwijzing"/>
        </w:rPr>
        <w:fldChar w:fldCharType="end"/>
      </w:r>
      <w:r>
        <w:t xml:space="preserve"> is volledig gewijd aan de modellering van </w:t>
      </w:r>
      <w:r>
        <w:fldChar w:fldCharType="begin"/>
      </w:r>
      <w:r>
        <w:instrText>DOCVARIABLE ID01+</w:instrText>
      </w:r>
      <w:r>
        <w:fldChar w:fldCharType="separate"/>
      </w:r>
      <w:r w:rsidR="00987731">
        <w:t>de omgevingsverordening</w:t>
      </w:r>
      <w:r>
        <w:fldChar w:fldCharType="end"/>
      </w:r>
      <w:r>
        <w:t xml:space="preserve">. Hoofdstuk </w:t>
      </w:r>
      <w:r w:rsidRPr="00AB1800">
        <w:rPr>
          <w:rStyle w:val="Verwijzing"/>
        </w:rPr>
        <w:fldChar w:fldCharType="begin"/>
      </w:r>
      <w:r w:rsidRPr="00AB1800">
        <w:rPr>
          <w:rStyle w:val="Verwijzing"/>
        </w:rPr>
        <w:instrText xml:space="preserve"> REF _Ref_6de55eb848e97a2be6b773edef1c907b_2 \n \h </w:instrText>
      </w:r>
      <w:r w:rsidRPr="00AB1800">
        <w:rPr>
          <w:rStyle w:val="Verwijzing"/>
        </w:rPr>
      </w:r>
      <w:r w:rsidRPr="00AB1800">
        <w:rPr>
          <w:rStyle w:val="Verwijzing"/>
        </w:rPr>
        <w:fldChar w:fldCharType="separate"/>
      </w:r>
      <w:r w:rsidR="00987731" w:rsidRPr="00AB1800">
        <w:rPr>
          <w:rStyle w:val="Verwijzing"/>
        </w:rPr>
        <w:t>4</w:t>
      </w:r>
      <w:r w:rsidRPr="00AB1800">
        <w:rPr>
          <w:rStyle w:val="Verwijzing"/>
        </w:rPr>
        <w:fldChar w:fldCharType="end"/>
      </w:r>
      <w:r>
        <w:t xml:space="preserve"> beschrijft de besluitonderdelen waaruit een besluit tot vaststelling of wijziging van </w:t>
      </w:r>
      <w:r>
        <w:fldChar w:fldCharType="begin"/>
      </w:r>
      <w:r>
        <w:instrText>DOCVARIABLE ID01+</w:instrText>
      </w:r>
      <w:r>
        <w:fldChar w:fldCharType="separate"/>
      </w:r>
      <w:r w:rsidR="00987731">
        <w:t>de omgevingsverordening</w:t>
      </w:r>
      <w:r>
        <w:fldChar w:fldCharType="end"/>
      </w:r>
      <w:r>
        <w:t xml:space="preserve"> bestaat en het verschil tussen de actuele geldende versie van </w:t>
      </w:r>
      <w:r>
        <w:fldChar w:fldCharType="begin"/>
      </w:r>
      <w:r>
        <w:instrText>DOCVARIABLE ID01+</w:instrText>
      </w:r>
      <w:r>
        <w:fldChar w:fldCharType="separate"/>
      </w:r>
      <w:r w:rsidR="00987731">
        <w:t>de omgevingsverordening</w:t>
      </w:r>
      <w:r>
        <w:fldChar w:fldCharType="end"/>
      </w:r>
      <w:r>
        <w:t xml:space="preserve"> en de </w:t>
      </w:r>
      <w:r w:rsidDel="008B7535">
        <w:t xml:space="preserve">geconsolideerde </w:t>
      </w:r>
      <w:r>
        <w:t xml:space="preserve">Regeling daarvan. In hoofdstuk </w:t>
      </w:r>
      <w:r w:rsidRPr="00AB1800">
        <w:rPr>
          <w:rStyle w:val="Verwijzing"/>
        </w:rPr>
        <w:fldChar w:fldCharType="begin"/>
      </w:r>
      <w:r w:rsidRPr="00AB1800">
        <w:rPr>
          <w:rStyle w:val="Verwijzing"/>
        </w:rPr>
        <w:instrText xml:space="preserve"> REF _Ref_d19d7a6d12cd82925ed6c3436ff7e491_2 \n \h </w:instrText>
      </w:r>
      <w:r w:rsidRPr="00AB1800">
        <w:rPr>
          <w:rStyle w:val="Verwijzing"/>
        </w:rPr>
      </w:r>
      <w:r w:rsidRPr="00AB1800">
        <w:rPr>
          <w:rStyle w:val="Verwijzing"/>
        </w:rPr>
        <w:fldChar w:fldCharType="separate"/>
      </w:r>
      <w:r w:rsidR="00987731" w:rsidRPr="00AB1800">
        <w:rPr>
          <w:rStyle w:val="Verwijzing"/>
        </w:rPr>
        <w:t>5</w:t>
      </w:r>
      <w:r w:rsidRPr="00AB1800">
        <w:rPr>
          <w:rStyle w:val="Verwijzing"/>
        </w:rPr>
        <w:fldChar w:fldCharType="end"/>
      </w:r>
      <w:r>
        <w:t xml:space="preserve"> wordt het STOP-tekstmodel beschreven en de toepassing daarvan op </w:t>
      </w:r>
      <w:r>
        <w:fldChar w:fldCharType="begin"/>
      </w:r>
      <w:r>
        <w:instrText>DOCVARIABLE ID01+</w:instrText>
      </w:r>
      <w:r>
        <w:fldChar w:fldCharType="separate"/>
      </w:r>
      <w:r w:rsidR="00987731">
        <w:t>de omgevingsverordening</w:t>
      </w:r>
      <w:r>
        <w:fldChar w:fldCharType="end"/>
      </w:r>
      <w:r>
        <w:t xml:space="preserve">. Hoofdstuk </w:t>
      </w:r>
      <w:r w:rsidRPr="00AB1800">
        <w:rPr>
          <w:rStyle w:val="Verwijzing"/>
        </w:rPr>
        <w:fldChar w:fldCharType="begin"/>
      </w:r>
      <w:r w:rsidRPr="00AB1800">
        <w:rPr>
          <w:rStyle w:val="Verwijzing"/>
        </w:rPr>
        <w:instrText xml:space="preserve"> REF _Ref_ede6bc72a6c0637c494c31cf296af632_1 \n \h </w:instrText>
      </w:r>
      <w:r w:rsidRPr="00AB1800">
        <w:rPr>
          <w:rStyle w:val="Verwijzing"/>
        </w:rPr>
      </w:r>
      <w:r w:rsidRPr="00AB1800">
        <w:rPr>
          <w:rStyle w:val="Verwijzing"/>
        </w:rPr>
        <w:fldChar w:fldCharType="separate"/>
      </w:r>
      <w:r w:rsidR="00987731" w:rsidRPr="00AB1800">
        <w:rPr>
          <w:rStyle w:val="Verwijzing"/>
        </w:rPr>
        <w:t>6</w:t>
      </w:r>
      <w:r w:rsidRPr="00AB1800">
        <w:rPr>
          <w:rStyle w:val="Verwijzing"/>
        </w:rPr>
        <w:fldChar w:fldCharType="end"/>
      </w:r>
      <w:r>
        <w:t xml:space="preserve"> bevat een beschrijving van het IMOW. Hierin worden de drie </w:t>
      </w:r>
      <w:r w:rsidRPr="009856B3">
        <w:t>hoofdcomponenten van IMOW beschreven</w:t>
      </w:r>
      <w:r>
        <w:t xml:space="preserve">, staat </w:t>
      </w:r>
      <w:r w:rsidRPr="009856B3">
        <w:t>het IMOW-UML-klassediagram voor</w:t>
      </w:r>
      <w:r>
        <w:t xml:space="preserve"> </w:t>
      </w:r>
      <w:r>
        <w:fldChar w:fldCharType="begin"/>
      </w:r>
      <w:r>
        <w:instrText>DOCVARIABLE ID01+</w:instrText>
      </w:r>
      <w:r>
        <w:fldChar w:fldCharType="separate"/>
      </w:r>
      <w:r w:rsidR="00987731">
        <w:t>de omgevingsverordening</w:t>
      </w:r>
      <w:r>
        <w:fldChar w:fldCharType="end"/>
      </w:r>
      <w:r>
        <w:t xml:space="preserve"> en wordt het annoteren van </w:t>
      </w:r>
      <w:r>
        <w:fldChar w:fldCharType="begin"/>
      </w:r>
      <w:r>
        <w:instrText>DOCVARIABLE ID01+</w:instrText>
      </w:r>
      <w:r>
        <w:fldChar w:fldCharType="separate"/>
      </w:r>
      <w:r w:rsidR="00987731">
        <w:t>de omgevingsverordening</w:t>
      </w:r>
      <w:r>
        <w:fldChar w:fldCharType="end"/>
      </w:r>
      <w:r>
        <w:t xml:space="preserve"> met IMOW-objecten </w:t>
      </w:r>
      <w:r w:rsidRPr="009E0236">
        <w:t>gedetailleerd toegelicht</w:t>
      </w:r>
      <w:r>
        <w:t>. Tot slot worden de verplichte en onverplichte onderdelen van de standaard en hun juridische status beschreven.</w:t>
      </w:r>
    </w:p>
    <w:p w14:paraId="5B1F61AF" w14:textId="77777777" w:rsidR="00C34A7B" w:rsidRDefault="00C34A7B" w:rsidP="00C34A7B"/>
    <w:p w14:paraId="5EDBB094" w14:textId="6D74B436" w:rsidR="00C34A7B" w:rsidRDefault="00590129" w:rsidP="00C34A7B">
      <w:r>
        <w:t xml:space="preserve">In deel </w:t>
      </w:r>
      <w:r w:rsidR="00B3741C" w:rsidRPr="00AB1800">
        <w:rPr>
          <w:rStyle w:val="Verwijzing"/>
        </w:rPr>
        <w:fldChar w:fldCharType="begin"/>
      </w:r>
      <w:r w:rsidR="00B3741C" w:rsidRPr="00AB1800">
        <w:rPr>
          <w:rStyle w:val="Verwijzing"/>
        </w:rPr>
        <w:instrText xml:space="preserve"> REF _Ref_5758406e55e21945f2510d2868ca950f_1 \n \h </w:instrText>
      </w:r>
      <w:r w:rsidR="00B3741C" w:rsidRPr="00AB1800">
        <w:rPr>
          <w:rStyle w:val="Verwijzing"/>
        </w:rPr>
      </w:r>
      <w:r w:rsidR="00B3741C" w:rsidRPr="00AB1800">
        <w:rPr>
          <w:rStyle w:val="Verwijzing"/>
        </w:rPr>
        <w:fldChar w:fldCharType="separate"/>
      </w:r>
      <w:r w:rsidR="00987731" w:rsidRPr="00AB1800">
        <w:rPr>
          <w:rStyle w:val="Verwijzing"/>
        </w:rPr>
        <w:t>C</w:t>
      </w:r>
      <w:r w:rsidR="00B3741C" w:rsidRPr="00AB1800">
        <w:rPr>
          <w:rStyle w:val="Verwijzing"/>
        </w:rPr>
        <w:fldChar w:fldCharType="end"/>
      </w:r>
      <w:r>
        <w:t xml:space="preserve"> komt een aantal aanleveringsaspecten aan de orde: de identificatie van omgevingsdocumenten met Doel; de vormgeving van Regeling en Besluit, oftewel de toepassing van de STOP-tekstmodellen voor Regeling en Besluit voor omgevingsdocumenten; het aangeven van de procedurestatus van een besluit tot vaststelling of wijziging van omgevingsdocumenten en de doorwerking daarvan in de geconsolideerde Regeling en tot slot het muteren van IMOW-objecten.</w:t>
      </w:r>
    </w:p>
    <w:p w14:paraId="1902C7C8" w14:textId="77777777" w:rsidR="00C34A7B" w:rsidRPr="00F62F31" w:rsidRDefault="00C34A7B" w:rsidP="00C34A7B"/>
    <w:p w14:paraId="7200C3CC" w14:textId="0E2D1F61" w:rsidR="00C34A7B" w:rsidRDefault="00590129" w:rsidP="00C34A7B">
      <w:r w:rsidRPr="00F62F31">
        <w:t xml:space="preserve">Dit toepassingsprofiel stelt een aantal (overwegend technische en structurerende) normen voor het opstellen van </w:t>
      </w:r>
      <w:r>
        <w:fldChar w:fldCharType="begin"/>
      </w:r>
      <w:r>
        <w:instrText>DOCVARIABLE ID01+</w:instrText>
      </w:r>
      <w:r>
        <w:fldChar w:fldCharType="separate"/>
      </w:r>
      <w:r w:rsidR="00987731">
        <w:t>de omgevingsverordening</w:t>
      </w:r>
      <w:r>
        <w:fldChar w:fldCharType="end"/>
      </w:r>
      <w:r w:rsidRPr="00F62F31">
        <w:t xml:space="preserve">. Voorbeelden daarvan zijn het aantal besluitonderdelen waaruit een besluit tot </w:t>
      </w:r>
      <w:r w:rsidR="000068B2">
        <w:t>vastste</w:t>
      </w:r>
      <w:r w:rsidR="007865CE">
        <w:t>l</w:t>
      </w:r>
      <w:r w:rsidR="000068B2">
        <w:t xml:space="preserve">ling of </w:t>
      </w:r>
      <w:r w:rsidRPr="00F62F31">
        <w:t xml:space="preserve">wijziging van </w:t>
      </w:r>
      <w:r>
        <w:fldChar w:fldCharType="begin"/>
      </w:r>
      <w:r>
        <w:instrText>DOCVARIABLE ID01+</w:instrText>
      </w:r>
      <w:r>
        <w:fldChar w:fldCharType="separate"/>
      </w:r>
      <w:r w:rsidR="00987731">
        <w:t>de omgevingsverordening</w:t>
      </w:r>
      <w:r>
        <w:fldChar w:fldCharType="end"/>
      </w:r>
      <w:r w:rsidRPr="00F62F31">
        <w:t xml:space="preserve"> moet bestaan, de </w:t>
      </w:r>
      <w:r>
        <w:t>attributen</w:t>
      </w:r>
      <w:r w:rsidRPr="00F62F31">
        <w:t xml:space="preserve"> die nodig zijn om een bepaalde annotatie vast te leggen en de manier waarop de relatie tussen tekst en werkingsgebied wordt vormgegeven. Uiteraard bevat het toepassingsprofiel ook een toelichting op die normen. Om volstrekt helder te maken wat tot de norm behoort</w:t>
      </w:r>
      <w:r>
        <w:t>,</w:t>
      </w:r>
      <w:r w:rsidRPr="00F62F31">
        <w:t xml:space="preserve"> wordt in de tekst een duidelijk onderscheid gemaakt tussen beide teksttypen. De toelichtende teksten staan steeds in de subparagraaf Toelichting, de normen staan in de subparagraaf Norm.</w:t>
      </w:r>
      <w:r>
        <w:t xml:space="preserve"> Het gaat hier om de functionele normen uit de standaard, niet om juridische normen die regels stellen. De subparagraaf Norm beschrijft hoe bij het opstellen van </w:t>
      </w:r>
      <w:r>
        <w:fldChar w:fldCharType="begin"/>
      </w:r>
      <w:r>
        <w:instrText>DOCVARIABLE ID01+</w:instrText>
      </w:r>
      <w:r>
        <w:fldChar w:fldCharType="separate"/>
      </w:r>
      <w:r w:rsidR="00987731">
        <w:t>de omgevingsverordening</w:t>
      </w:r>
      <w:r>
        <w:fldChar w:fldCharType="end"/>
      </w:r>
      <w:r>
        <w:t xml:space="preserve"> voldaan moet worden aan </w:t>
      </w:r>
      <w:r w:rsidRPr="00094BAC">
        <w:t>de TPOD-standaard</w:t>
      </w:r>
      <w:r>
        <w:t xml:space="preserve">. </w:t>
      </w:r>
      <w:r w:rsidRPr="006B4274">
        <w:t>Doelstelling hiervan is dat</w:t>
      </w:r>
      <w:r>
        <w:t xml:space="preserve"> de </w:t>
      </w:r>
      <w:r w:rsidRPr="006B4274">
        <w:t>omgevingsdocumenten van verschillende bevoegde gezagen op eenzelfde manier geraadpleegd en bevraagd kunnen worden</w:t>
      </w:r>
      <w:r>
        <w:t xml:space="preserve"> en het combineren van informatie uit verschillende omgevingsdocumenten over eenzelfde onderwerp vereenvoudigd wordt</w:t>
      </w:r>
      <w:r w:rsidRPr="006B4274">
        <w:t>. Hiermee hebben deze normen een functionele invalshoek.</w:t>
      </w:r>
      <w:r>
        <w:t xml:space="preserve"> </w:t>
      </w:r>
      <w:r w:rsidRPr="004E0629">
        <w:t>Validatieregels</w:t>
      </w:r>
      <w:r>
        <w:t xml:space="preserve"> die bepalen of een </w:t>
      </w:r>
      <w:r>
        <w:fldChar w:fldCharType="begin"/>
      </w:r>
      <w:r>
        <w:instrText>DOCVARIABLE ID01</w:instrText>
      </w:r>
      <w:r>
        <w:fldChar w:fldCharType="separate"/>
      </w:r>
      <w:r w:rsidR="00987731">
        <w:t>omgevingsverordening</w:t>
      </w:r>
      <w:r>
        <w:fldChar w:fldCharType="end"/>
      </w:r>
      <w:r>
        <w:t xml:space="preserve"> kan worden bekendgemaakt en/of in DSO-LV getoond kan worden, </w:t>
      </w:r>
      <w:r w:rsidRPr="00164F8E">
        <w:t>kennen een technische invalshoek</w:t>
      </w:r>
      <w:r>
        <w:t>:</w:t>
      </w:r>
      <w:r w:rsidRPr="00164F8E">
        <w:t xml:space="preserve">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