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29D14111" w:rsidR="00C34A7B" w:rsidRPr="00F62F31" w:rsidRDefault="00590129" w:rsidP="00C34A7B">
      <w:pPr>
        <w:pStyle w:val="Kop4"/>
        <w:rPr>
          <w:noProof/>
        </w:rPr>
      </w:pPr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987731">
        <w:rPr>
          <w:noProof/>
        </w:rPr>
        <w:t>de omgevingsverordening</w:t>
      </w:r>
      <w:r>
        <w:rPr>
          <w:noProof/>
        </w:rPr>
        <w:fldChar w:fldCharType="end"/>
      </w:r>
    </w:p>
    <w:p w14:paraId="17EC0B1D" w14:textId="77CBA86B" w:rsidR="00C34A7B" w:rsidRPr="00F62F31" w:rsidRDefault="00590129" w:rsidP="00C34A7B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