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441ACA2D" w14:textId="24E0B4E3" w:rsidR="00AB1800"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r>
      <w:r>
        <w:lastRenderedPageBreak/>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van vragenbomen.</w:t>
      </w:r>
    </w:p>
    <w:p w14:paraId="69843461" w14:textId="52CB0068"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66D9B383" w14:textId="5B882142" w:rsidR="00AB1800" w:rsidRDefault="00590129" w:rsidP="00C34A7B">
      <w:pPr>
        <w:pStyle w:val="Opsommingtekens1"/>
      </w:pPr>
      <w:r w:rsidRPr="00A1322E">
        <w:rPr>
          <w:i/>
          <w:iCs/>
        </w:rPr>
        <w:t>bovenliggendeActiviteit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A1322E">
        <w:rPr>
          <w:i/>
          <w:iCs/>
        </w:rPr>
        <w:t>bovenliggendeActiviteit</w:t>
      </w:r>
      <w:r>
        <w:t xml:space="preserve"> kan van een </w:t>
      </w:r>
      <w:r w:rsidRPr="004A59E2">
        <w:t xml:space="preserve">specifieke activiteit die door een bevoegd gezag is gecreëerd, </w:t>
      </w:r>
      <w:r>
        <w:t xml:space="preserve">worden verwezen </w:t>
      </w:r>
      <w:r w:rsidRPr="004A59E2">
        <w:t>naar een bovenliggende activiteit die al bestaat in de functionele structuur</w:t>
      </w:r>
      <w:r w:rsidR="0003429C">
        <w:t>.</w:t>
      </w:r>
      <w:r>
        <w:t xml:space="preserve">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w:t>
      </w:r>
      <w:r w:rsidR="00A02E1D" w:rsidRPr="00A02E1D">
        <w:t xml:space="preserve">Met </w:t>
      </w:r>
      <w:r w:rsidR="00A02E1D" w:rsidRPr="00A1322E">
        <w:rPr>
          <w:i/>
          <w:iCs/>
        </w:rPr>
        <w:t>bovenliggendeActiviteit</w:t>
      </w:r>
      <w:r w:rsidR="00A02E1D" w:rsidRPr="00A02E1D">
        <w:t xml:space="preserve"> moet worden verwezen naar een activiteit die voorkomt in hetzelfde omgevingsplan. De hoogste bovenliggende activiteit is de meest generieke activiteit die in het omgevingsdocument voorkomt, bijvoorbeeld: ‘Activiteit in omgevingsplan Gemeentestad’.</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rsidR="00A02E1D">
        <w:t xml:space="preserve">Met </w:t>
      </w:r>
      <w:r w:rsidRPr="00A1322E">
        <w:rPr>
          <w:i/>
          <w:iCs/>
        </w:rPr>
        <w:t>bovenliggende</w:t>
      </w:r>
      <w:r w:rsidR="00A02E1D" w:rsidRPr="00A1322E">
        <w:rPr>
          <w:i/>
          <w:iCs/>
        </w:rPr>
        <w:t>A</w:t>
      </w:r>
      <w:r w:rsidRPr="00A1322E">
        <w:rPr>
          <w:i/>
          <w:iCs/>
        </w:rPr>
        <w:t>ctiviteit</w:t>
      </w:r>
      <w:r>
        <w:t xml:space="preserve"> mag niet </w:t>
      </w:r>
      <w:r w:rsidR="00A02E1D">
        <w:t xml:space="preserve">verwezen worden </w:t>
      </w:r>
      <w:r>
        <w:t>naar een activiteit die lager in de hiërarchie ligt</w:t>
      </w:r>
      <w:r>
        <w:rPr>
          <w:rStyle w:val="Eindnootmarkering"/>
        </w:rPr>
        <w:endnoteReference w:id="28"/>
      </w:r>
      <w:r>
        <w:t>.</w:t>
      </w:r>
    </w:p>
    <w:p w14:paraId="42493628" w14:textId="48C884AD"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987731">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 xml:space="preserve">gerelateerde activiteit die nog niet in de functionele structuur voorkomt. In dat </w:t>
      </w:r>
      <w:r>
        <w:lastRenderedPageBreak/>
        <w:t>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1A4F3280" w:rsidR="00C34A7B" w:rsidRPr="005A43CD" w:rsidRDefault="00590129" w:rsidP="005A43CD">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w:t>
      </w:r>
      <w:r w:rsidR="003975D9">
        <w:t>symbolenbibliotheek</w:t>
      </w:r>
      <w:r w:rsidRPr="006177A7">
        <w:t xml:space="preserve">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w:t>
      </w:r>
      <w:r w:rsidRPr="00D25AE7">
        <w:rPr>
          <w:i/>
          <w:iCs/>
        </w:rPr>
        <w:t>groep</w:t>
      </w:r>
      <w:r w:rsidRPr="005276EA">
        <w:t xml:space="preserve">. </w:t>
      </w:r>
      <w:r w:rsidR="005A43CD">
        <w:br/>
      </w:r>
      <w:r w:rsidR="005A43CD" w:rsidRPr="00D25AE7">
        <w:t xml:space="preserve">Let op: in de 1.1-versie van de TPOD-standaard gaat dit attribuut vervallen. Het wordt dan vervangen door het objecttype SymbolisatieItem. Daarom wordt dringend </w:t>
      </w:r>
      <w:r w:rsidR="005A43CD" w:rsidRPr="00D25AE7">
        <w:lastRenderedPageBreak/>
        <w:t xml:space="preserve">geadviseerd om, indien het wenselijk wordt geacht om met een eigen symbolisatie te werken, geen gebruik te maken van het attribuut </w:t>
      </w:r>
      <w:r w:rsidR="005A43CD" w:rsidRPr="00D25AE7">
        <w:rPr>
          <w:i/>
          <w:iCs/>
        </w:rPr>
        <w:t>specifiekeSymbolisatie</w:t>
      </w:r>
      <w:r w:rsidR="005A43CD" w:rsidRPr="00D25AE7">
        <w:t xml:space="preserve"> maar van het objecttype SymbolisatieItem. Zie hiervoor paragraaf </w:t>
      </w:r>
      <w:r w:rsidR="005A43CD" w:rsidRPr="00AB1800">
        <w:rPr>
          <w:rStyle w:val="Verwijzing"/>
        </w:rPr>
        <w:fldChar w:fldCharType="begin"/>
      </w:r>
      <w:r w:rsidR="005A43CD" w:rsidRPr="00AB1800">
        <w:rPr>
          <w:rStyle w:val="Verwijzing"/>
        </w:rPr>
        <w:instrText xml:space="preserve"> REF _Ref_848aa3a4c277b00b729a862026d8a73e_1 </w:instrText>
      </w:r>
      <w:r w:rsidR="002107A1" w:rsidRPr="00AB1800">
        <w:rPr>
          <w:rStyle w:val="Verwijzing"/>
        </w:rPr>
        <w:instrText>\n \h</w:instrText>
      </w:r>
      <w:r w:rsidR="005A43CD" w:rsidRPr="00AB1800">
        <w:rPr>
          <w:rStyle w:val="Verwijzing"/>
        </w:rPr>
        <w:instrText xml:space="preserve"> </w:instrText>
      </w:r>
      <w:r w:rsidR="005A43CD" w:rsidRPr="00AB1800">
        <w:rPr>
          <w:rStyle w:val="Verwijzing"/>
        </w:rPr>
      </w:r>
      <w:r w:rsidR="005A43CD" w:rsidRPr="00AB1800">
        <w:rPr>
          <w:rStyle w:val="Verwijzing"/>
        </w:rPr>
        <w:fldChar w:fldCharType="separate"/>
      </w:r>
      <w:r w:rsidR="00987731" w:rsidRPr="00AB1800">
        <w:rPr>
          <w:rStyle w:val="Verwijzing"/>
        </w:rPr>
        <w:t>6.4.31</w:t>
      </w:r>
      <w:r w:rsidR="005A43CD" w:rsidRPr="00AB1800">
        <w:rPr>
          <w:rStyle w:val="Verwijzing"/>
        </w:rPr>
        <w:fldChar w:fldCharType="end"/>
      </w:r>
      <w:r w:rsidR="005A43CD" w:rsidRPr="00D25AE7">
        <w:t>.</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19B60599"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rsidR="008E095B">
        <w:t xml:space="preserve">de </w:t>
      </w:r>
      <w:r>
        <w:t>IMOW-object</w:t>
      </w:r>
      <w:r w:rsidR="008E095B">
        <w:t>en</w:t>
      </w:r>
      <w:r>
        <w:t xml:space="preserve"> </w:t>
      </w:r>
      <w:r w:rsidRPr="00EB454B">
        <w:t>Activiteit</w:t>
      </w:r>
      <w:r>
        <w:t xml:space="preserve"> </w:t>
      </w:r>
      <w:r w:rsidR="008E095B">
        <w:t xml:space="preserve">en ActiviteitLocatieaanduiding </w:t>
      </w:r>
      <w:r>
        <w:t xml:space="preserve">geannoteerd, </w:t>
      </w:r>
      <w:r w:rsidR="00BC5E69">
        <w:t xml:space="preserve">waardoor wordt verwezen </w:t>
      </w:r>
      <w:r>
        <w:t xml:space="preserve">naar de Locatie die bij </w:t>
      </w:r>
      <w:r w:rsidR="00F51166">
        <w:t xml:space="preserve">dit voorkomen van de Activiteit </w:t>
      </w:r>
      <w:r>
        <w:t>hoort.</w:t>
      </w:r>
      <w:r w:rsidRPr="006256F8">
        <w:t xml:space="preserve"> </w:t>
      </w:r>
      <w:r w:rsidR="00F51166">
        <w:t xml:space="preserve">In </w:t>
      </w:r>
      <w:r>
        <w:t xml:space="preserve">een </w:t>
      </w:r>
      <w:r w:rsidR="00AE2342">
        <w:t>volgende</w:t>
      </w:r>
      <w:r>
        <w:t xml:space="preserve"> Juridische regel </w:t>
      </w:r>
      <w:r w:rsidR="006D6B5D">
        <w:t xml:space="preserve">over </w:t>
      </w:r>
      <w:r>
        <w:t xml:space="preserve">diezelfde </w:t>
      </w:r>
      <w:r w:rsidRPr="006256F8">
        <w:t>activiteit</w:t>
      </w:r>
      <w:r>
        <w:t xml:space="preserve"> </w:t>
      </w:r>
      <w:r w:rsidR="006D6B5D">
        <w:t>wordt verwezen</w:t>
      </w:r>
      <w:r w:rsidDel="001557E3">
        <w:t xml:space="preserve"> naar </w:t>
      </w:r>
      <w:r>
        <w:t xml:space="preserve">het </w:t>
      </w:r>
      <w:r w:rsidDel="001557E3">
        <w:t>al bestaande Activiteit-</w:t>
      </w:r>
      <w:r>
        <w:t>object</w:t>
      </w:r>
      <w:r w:rsidR="006D6B5D">
        <w:t xml:space="preserve"> en naar een bij die Juridische regel horend ActiviteitLocatieaanduiding-object</w:t>
      </w:r>
      <w:r>
        <w:t xml:space="preserve">. Op deze manier is van iedere afzonderlijke Juridische regel over die activiteit te zien welke </w:t>
      </w:r>
      <w:r w:rsidR="00F905E6">
        <w:t xml:space="preserve">combinatie van </w:t>
      </w:r>
      <w:r>
        <w:t xml:space="preserve">Locatie </w:t>
      </w:r>
      <w:r w:rsidR="00F905E6">
        <w:t xml:space="preserve">en activiteitregelkwalificatie </w:t>
      </w:r>
      <w:r>
        <w:t>er bij hoort. Een Activiteit heeft dus altijd met 1 of meer Juridische regels een relatie.</w:t>
      </w:r>
    </w:p>
    <w:p w14:paraId="27893579" w14:textId="55D5257E" w:rsidR="00C34A7B" w:rsidRDefault="00C34A7B" w:rsidP="00C34A7B"/>
    <w:p w14:paraId="541A4992" w14:textId="1070D50B" w:rsidR="00AB1800" w:rsidRDefault="00590129" w:rsidP="00C34A7B">
      <w:r>
        <w:t xml:space="preserve">In paragraaf </w:t>
      </w:r>
      <w:r w:rsidRPr="00AB1800">
        <w:rPr>
          <w:rStyle w:val="Verwijzing"/>
        </w:rPr>
        <w:fldChar w:fldCharType="begin"/>
      </w:r>
      <w:r w:rsidRPr="00AB1800">
        <w:rPr>
          <w:rStyle w:val="Verwijzing"/>
        </w:rPr>
        <w:instrText xml:space="preserve"> REF _Ref_9a1ae002c5ed76e90d3caf2908511719_2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6.4.1</w:t>
      </w:r>
      <w:r w:rsidRPr="00AB1800">
        <w:rPr>
          <w:rStyle w:val="Verwijzing"/>
        </w:rP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p>
    <w:p w14:paraId="75A6C4C4" w14:textId="0F85541D"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8">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80" w:name="_Ref_c2e2e1fe69de643bfcc67c4c788b0dc8_1"/>
      <w:r w:rsidRPr="007E23A2">
        <w:t>Voorbeeld bedoeling van IMOW</w:t>
      </w:r>
      <w:r>
        <w:t xml:space="preserve"> voor</w:t>
      </w:r>
      <w:r w:rsidRPr="007E23A2">
        <w:t xml:space="preserve"> </w:t>
      </w:r>
      <w:r>
        <w:t>A</w:t>
      </w:r>
      <w:r w:rsidRPr="007E23A2">
        <w:t>ctiviteit</w:t>
      </w:r>
      <w:bookmarkEnd w:id="180"/>
    </w:p>
    <w:p w14:paraId="6B142204" w14:textId="53A9C855" w:rsidR="00AB1800" w:rsidRDefault="00590129" w:rsidP="00C34A7B">
      <w:r w:rsidRPr="00E07419">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t>
      </w:r>
      <w:r>
        <w:lastRenderedPageBreak/>
        <w:t xml:space="preserve">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Dat kan alleen gelden wanneer dat expliciet in een Juridische regel is bepaald.</w:t>
      </w:r>
    </w:p>
    <w:p w14:paraId="609F2FCA" w14:textId="33774DB4" w:rsidR="00AB1800"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is toegestaan. De juridische bedoeling wordt expliciet in de Juridische regel vastgelegd; de annotaties zijn daarvan een letterlijke vertaling.</w:t>
      </w:r>
    </w:p>
    <w:p w14:paraId="33F44CE4" w14:textId="55F940FB" w:rsidR="00C34A7B" w:rsidRDefault="00590129" w:rsidP="00C34A7B">
      <w:r>
        <w:t xml:space="preserve">Wanneer het bevoegd gezag in het voorbeeld van </w:t>
      </w:r>
      <w:r w:rsidRPr="00AB1800">
        <w:rPr>
          <w:rStyle w:val="Verwijzing"/>
        </w:rPr>
        <w:fldChar w:fldCharType="begin"/>
      </w:r>
      <w:r w:rsidRPr="00AB1800">
        <w:rPr>
          <w:rStyle w:val="Verwijzing"/>
        </w:rPr>
        <w:instrText xml:space="preserve"> REF _Ref_c2e2e1fe69de643bfcc67c4c788b0dc8_1 \n \h </w:instrText>
      </w:r>
      <w:r w:rsidRPr="00AB1800">
        <w:rPr>
          <w:rStyle w:val="Verwijzing"/>
        </w:rPr>
      </w:r>
      <w:r w:rsidRPr="00AB1800">
        <w:rPr>
          <w:rStyle w:val="Verwijzing"/>
        </w:rPr>
        <w:fldChar w:fldCharType="separate"/>
      </w:r>
      <w:r w:rsidR="00987731" w:rsidRPr="00AB1800">
        <w:rPr>
          <w:rStyle w:val="Verwijzing"/>
        </w:rPr>
        <w:t>Figuur 30</w:t>
      </w:r>
      <w:r w:rsidRPr="00AB1800">
        <w:rPr>
          <w:rStyle w:val="Verwijzing"/>
        </w:rP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