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067A" w14:textId="484D7172" w:rsidR="0056703D" w:rsidRPr="00F62F31" w:rsidRDefault="0056703D" w:rsidP="0056703D">
      <w:pPr>
        <w:pStyle w:val="Kop3"/>
      </w:pPr>
      <w:bookmarkStart w:id="30" w:name="_Ref_7aa8cb87ceb7cc8a6852b7c142e2c1ac_1"/>
      <w:r w:rsidRPr="00F62F31">
        <w:lastRenderedPageBreak/>
        <w:t xml:space="preserve">Algemene kenmerken </w:t>
      </w:r>
      <w:r w:rsidRPr="00F62F31">
        <w:fldChar w:fldCharType="begin"/>
      </w:r>
      <w:r w:rsidRPr="00F62F31">
        <w:instrText xml:space="preserve"> </w:instrText>
      </w:r>
      <w:r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174629">
        <w:t>omgevingsvisie</w:t>
      </w:r>
      <w:r w:rsidRPr="00F62F31">
        <w:fldChar w:fldCharType="end"/>
      </w:r>
      <w:bookmarkEnd w:id="30"/>
    </w:p>
    <w:p w14:paraId="48574346" w14:textId="154366B7" w:rsidR="0056703D" w:rsidRPr="00F62F31" w:rsidRDefault="0056703D" w:rsidP="0056703D">
      <w:r w:rsidRPr="00F62F31">
        <w:t xml:space="preserve">In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_Ref_7aa8cb87ceb7cc8a6852b7c142e2c1ac_2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Tabel 1</w:t>
      </w:r>
      <w:r w:rsidRPr="00843E31">
        <w:rPr>
          <w:rStyle w:val="Verwijzing"/>
        </w:rPr>
        <w:fldChar w:fldCharType="end"/>
      </w:r>
      <w:r w:rsidRPr="00F62F31">
        <w:t xml:space="preserve"> tot en met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_Ref_7aa8cb87ceb7cc8a6852b7c142e2c1ac_3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Tabel 3</w:t>
      </w:r>
      <w:r w:rsidRPr="00843E31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>
        <w:t>, n</w:t>
      </w:r>
      <w:r w:rsidRPr="00F62F31">
        <w:t>iet om een volledig sluitende beschrijving te geven.</w:t>
      </w:r>
      <w:r>
        <w:t xml:space="preserve"> </w:t>
      </w:r>
      <w:r w:rsidRPr="00330957">
        <w:t>De in de tabellen aangehaalde artikelen zijn afkomstig uit de Omgevingswet (verder: Ow), tenzij anders vermeld.</w:t>
      </w:r>
    </w:p>
    <w:p w14:paraId="56BCB3D0" w14:textId="77777777" w:rsidR="0056703D" w:rsidRPr="00F62F31" w:rsidRDefault="0056703D" w:rsidP="0056703D">
      <w:pPr>
        <w:pStyle w:val="Tabeltitel"/>
      </w:pPr>
      <w:bookmarkStart w:id="31" w:name="_Ref_7aa8cb87ceb7cc8a6852b7c142e2c1ac_2"/>
      <w:r w:rsidRPr="00F62F31">
        <w:t>Juridische kenmerken</w:t>
      </w:r>
      <w:bookmarkEnd w:id="31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56703D" w:rsidRPr="00F62F31" w14:paraId="42F0B9F4" w14:textId="77777777" w:rsidTr="0056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04B152C" w14:textId="77777777" w:rsidR="0056703D" w:rsidRPr="00F62F31" w:rsidRDefault="0056703D" w:rsidP="0056703D">
            <w:r w:rsidRPr="00F62F31">
              <w:t>Onderwerp</w:t>
            </w:r>
          </w:p>
        </w:tc>
        <w:tc>
          <w:tcPr>
            <w:tcW w:w="3250" w:type="pct"/>
          </w:tcPr>
          <w:p w14:paraId="7B77EDF5" w14:textId="77777777" w:rsidR="0056703D" w:rsidRPr="00F62F31" w:rsidRDefault="0056703D" w:rsidP="0056703D">
            <w:r w:rsidRPr="00F62F31">
              <w:t>Specificatie</w:t>
            </w:r>
          </w:p>
        </w:tc>
      </w:tr>
      <w:tr w:rsidR="0056703D" w:rsidRPr="00F62F31" w14:paraId="683D7C31" w14:textId="77777777" w:rsidTr="0056703D">
        <w:tc>
          <w:tcPr>
            <w:tcW w:w="1750" w:type="pct"/>
          </w:tcPr>
          <w:p w14:paraId="281A997D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1F7F0DB4" w14:textId="77777777" w:rsidR="0056703D" w:rsidRPr="00F62F31" w:rsidRDefault="0056703D" w:rsidP="0056703D">
            <w:pPr>
              <w:rPr>
                <w:color w:val="000000" w:themeColor="text1"/>
                <w:szCs w:val="18"/>
              </w:rPr>
            </w:pPr>
            <w:r w:rsidRPr="00193B55">
              <w:rPr>
                <w:color w:val="000000" w:themeColor="text1"/>
                <w:szCs w:val="18"/>
              </w:rPr>
              <w:t xml:space="preserve">Artikel 3.1 </w:t>
            </w:r>
            <w:r>
              <w:rPr>
                <w:color w:val="000000" w:themeColor="text1"/>
                <w:szCs w:val="18"/>
              </w:rPr>
              <w:t>Ow</w:t>
            </w:r>
          </w:p>
        </w:tc>
      </w:tr>
      <w:tr w:rsidR="0056703D" w:rsidRPr="00F62F31" w14:paraId="0BC5055D" w14:textId="77777777" w:rsidTr="0056703D">
        <w:tc>
          <w:tcPr>
            <w:tcW w:w="1750" w:type="pct"/>
          </w:tcPr>
          <w:p w14:paraId="19D260C9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36D7B199" w14:textId="77777777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 w:rsidRPr="002B295F">
              <w:t>•</w:t>
            </w:r>
            <w:r w:rsidRPr="002B295F">
              <w:tab/>
              <w:t>Toepassen afdeling 3.4 Awb verplicht</w:t>
            </w:r>
          </w:p>
        </w:tc>
      </w:tr>
      <w:tr w:rsidR="0056703D" w:rsidRPr="00F62F31" w14:paraId="36A855B4" w14:textId="77777777" w:rsidTr="0056703D">
        <w:tc>
          <w:tcPr>
            <w:tcW w:w="1750" w:type="pct"/>
          </w:tcPr>
          <w:p w14:paraId="206B7EE7" w14:textId="77777777" w:rsidR="0056703D" w:rsidRPr="00F62F31" w:rsidRDefault="0056703D" w:rsidP="0056703D">
            <w:r w:rsidRPr="00F62F31">
              <w:t>Tijdstip bekendmaking/</w:t>
            </w:r>
          </w:p>
          <w:p w14:paraId="56F02DA5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terinzagelegging vastgesteld omgevings</w:t>
            </w:r>
            <w:r>
              <w:rPr>
                <w:color w:val="000000" w:themeColor="text1"/>
              </w:rPr>
              <w:t>visie</w:t>
            </w:r>
          </w:p>
        </w:tc>
        <w:tc>
          <w:tcPr>
            <w:tcW w:w="3250" w:type="pct"/>
          </w:tcPr>
          <w:p w14:paraId="571408F4" w14:textId="77777777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 w:rsidRPr="00E91F85">
              <w:t>•</w:t>
            </w:r>
            <w:r w:rsidRPr="00E91F85">
              <w:tab/>
              <w:t>Door bestuursorgaan te bepalen</w:t>
            </w:r>
          </w:p>
        </w:tc>
      </w:tr>
      <w:tr w:rsidR="0056703D" w:rsidRPr="00F62F31" w14:paraId="351968B9" w14:textId="77777777" w:rsidTr="0056703D">
        <w:tc>
          <w:tcPr>
            <w:tcW w:w="1750" w:type="pct"/>
          </w:tcPr>
          <w:p w14:paraId="72ECA4CB" w14:textId="77777777" w:rsidR="0056703D" w:rsidRPr="00F62F31" w:rsidRDefault="0056703D" w:rsidP="0056703D">
            <w:r w:rsidRPr="00F3508E">
              <w:t>Wijze van bekendmaking</w:t>
            </w:r>
          </w:p>
        </w:tc>
        <w:tc>
          <w:tcPr>
            <w:tcW w:w="3250" w:type="pct"/>
          </w:tcPr>
          <w:p w14:paraId="7B7AE7BE" w14:textId="77777777" w:rsidR="0056703D" w:rsidRPr="00D20EA1" w:rsidRDefault="0056703D" w:rsidP="0056703D">
            <w:pPr>
              <w:rPr>
                <w:szCs w:val="18"/>
              </w:rPr>
            </w:pPr>
            <w:r w:rsidRPr="009C2D97">
              <w:rPr>
                <w:szCs w:val="18"/>
              </w:rPr>
              <w:t>Bekendmaking door plaatsing van het volledige besluit in het elektronisch publicatieblad van het bestuursorgaan dat het besluit heeft genomen</w:t>
            </w:r>
          </w:p>
        </w:tc>
      </w:tr>
      <w:tr w:rsidR="0056703D" w:rsidRPr="00F62F31" w14:paraId="3DF0B6CA" w14:textId="77777777" w:rsidTr="0056703D">
        <w:tc>
          <w:tcPr>
            <w:tcW w:w="1750" w:type="pct"/>
          </w:tcPr>
          <w:p w14:paraId="2AD34F0F" w14:textId="77777777" w:rsidR="0056703D" w:rsidRPr="00F62F31" w:rsidRDefault="0056703D" w:rsidP="0056703D">
            <w:r w:rsidRPr="00A60258">
              <w:t>Tijdstip inwerkingtreding</w:t>
            </w:r>
          </w:p>
        </w:tc>
        <w:tc>
          <w:tcPr>
            <w:tcW w:w="3250" w:type="pct"/>
          </w:tcPr>
          <w:p w14:paraId="078CC1BA" w14:textId="77777777" w:rsidR="0056703D" w:rsidRPr="00D20EA1" w:rsidRDefault="0056703D" w:rsidP="0056703D">
            <w:pPr>
              <w:rPr>
                <w:szCs w:val="18"/>
              </w:rPr>
            </w:pPr>
            <w:r>
              <w:rPr>
                <w:szCs w:val="18"/>
              </w:rPr>
              <w:t>In Omgevingswet niet geregeld, door bevoegd gezag zelf te bepalen</w:t>
            </w:r>
          </w:p>
        </w:tc>
      </w:tr>
      <w:tr w:rsidR="0056703D" w:rsidRPr="00F62F31" w14:paraId="68223E15" w14:textId="77777777" w:rsidTr="0056703D">
        <w:tc>
          <w:tcPr>
            <w:tcW w:w="1750" w:type="pct"/>
          </w:tcPr>
          <w:p w14:paraId="56A14264" w14:textId="77777777" w:rsidR="0056703D" w:rsidRPr="00F62F31" w:rsidRDefault="0056703D" w:rsidP="0056703D">
            <w:r w:rsidRPr="00F62F31">
              <w:t>Rechtsbescherming</w:t>
            </w:r>
          </w:p>
        </w:tc>
        <w:tc>
          <w:tcPr>
            <w:tcW w:w="3250" w:type="pct"/>
          </w:tcPr>
          <w:p w14:paraId="037CDC76" w14:textId="77777777" w:rsidR="0056703D" w:rsidRPr="00F62F31" w:rsidRDefault="0056703D" w:rsidP="0056703D">
            <w:pPr>
              <w:rPr>
                <w:szCs w:val="18"/>
              </w:rPr>
            </w:pPr>
            <w:r w:rsidRPr="00D20EA1">
              <w:rPr>
                <w:szCs w:val="18"/>
              </w:rPr>
              <w:t>Geen bezwaar en beroep mogelijk</w:t>
            </w:r>
          </w:p>
        </w:tc>
      </w:tr>
      <w:tr w:rsidR="0056703D" w:rsidRPr="00F62F31" w14:paraId="12E58752" w14:textId="77777777" w:rsidTr="0056703D">
        <w:tc>
          <w:tcPr>
            <w:tcW w:w="1750" w:type="pct"/>
          </w:tcPr>
          <w:p w14:paraId="04B493B5" w14:textId="77777777" w:rsidR="0056703D" w:rsidRPr="00F62F31" w:rsidRDefault="0056703D" w:rsidP="0056703D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1E9345B2" w14:textId="77777777" w:rsidR="0056703D" w:rsidRPr="00F62F31" w:rsidRDefault="0056703D" w:rsidP="0056703D">
            <w:pPr>
              <w:rPr>
                <w:szCs w:val="18"/>
              </w:rPr>
            </w:pPr>
            <w:r w:rsidRPr="00F62F31">
              <w:rPr>
                <w:szCs w:val="18"/>
              </w:rPr>
              <w:t>Ja</w:t>
            </w:r>
          </w:p>
        </w:tc>
      </w:tr>
      <w:tr w:rsidR="0056703D" w:rsidRPr="00F62F31" w14:paraId="35F54D53" w14:textId="77777777" w:rsidTr="0056703D">
        <w:tc>
          <w:tcPr>
            <w:tcW w:w="1750" w:type="pct"/>
          </w:tcPr>
          <w:p w14:paraId="0A851D79" w14:textId="77777777" w:rsidR="0056703D" w:rsidRPr="00F62F31" w:rsidRDefault="0056703D" w:rsidP="0056703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2FC865C7" w14:textId="77777777" w:rsidR="0056703D" w:rsidRPr="00F62F31" w:rsidRDefault="0056703D" w:rsidP="0056703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56703D" w:rsidRPr="00F62F31" w14:paraId="37DA827B" w14:textId="77777777" w:rsidTr="0056703D">
        <w:tc>
          <w:tcPr>
            <w:tcW w:w="1750" w:type="pct"/>
          </w:tcPr>
          <w:p w14:paraId="1EA42E50" w14:textId="77777777" w:rsidR="0056703D" w:rsidRPr="00F62F31" w:rsidRDefault="0056703D" w:rsidP="0056703D">
            <w:r w:rsidRPr="00F62F31">
              <w:t>Rechtsfiguur bevat voor eenieder bindende regels</w:t>
            </w:r>
          </w:p>
        </w:tc>
        <w:tc>
          <w:tcPr>
            <w:tcW w:w="3250" w:type="pct"/>
          </w:tcPr>
          <w:p w14:paraId="1B917FA4" w14:textId="77777777" w:rsidR="0056703D" w:rsidRPr="00F62F31" w:rsidRDefault="0056703D" w:rsidP="0056703D">
            <w:pPr>
              <w:rPr>
                <w:szCs w:val="18"/>
              </w:rPr>
            </w:pPr>
            <w:r w:rsidRPr="00F57A97">
              <w:rPr>
                <w:szCs w:val="18"/>
              </w:rPr>
              <w:t>Nee, rechtsfiguur bevat geen regels</w:t>
            </w:r>
          </w:p>
        </w:tc>
      </w:tr>
    </w:tbl>
    <w:p w14:paraId="54CC8299" w14:textId="77777777" w:rsidR="0056703D" w:rsidRPr="00F62F31" w:rsidRDefault="0056703D" w:rsidP="0056703D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56703D" w:rsidRPr="00F62F31" w14:paraId="23E2C86C" w14:textId="77777777" w:rsidTr="0056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44BB0039" w14:textId="77777777" w:rsidR="0056703D" w:rsidRPr="00F62F31" w:rsidRDefault="0056703D" w:rsidP="0056703D">
            <w:r w:rsidRPr="00F62F31">
              <w:t>Onderwerp</w:t>
            </w:r>
          </w:p>
        </w:tc>
        <w:tc>
          <w:tcPr>
            <w:tcW w:w="3250" w:type="pct"/>
          </w:tcPr>
          <w:p w14:paraId="55045FF9" w14:textId="77777777" w:rsidR="0056703D" w:rsidRPr="00F62F31" w:rsidRDefault="0056703D" w:rsidP="0056703D">
            <w:r w:rsidRPr="00F62F31">
              <w:t>Specificatie</w:t>
            </w:r>
          </w:p>
        </w:tc>
      </w:tr>
      <w:tr w:rsidR="0056703D" w:rsidRPr="00F62F31" w14:paraId="7D976C94" w14:textId="77777777" w:rsidTr="0056703D">
        <w:tc>
          <w:tcPr>
            <w:tcW w:w="1750" w:type="pct"/>
          </w:tcPr>
          <w:p w14:paraId="4E2F9F77" w14:textId="77777777" w:rsidR="0056703D" w:rsidRPr="00F62F31" w:rsidRDefault="0056703D" w:rsidP="0056703D">
            <w:r w:rsidRPr="00F62F31">
              <w:t>Bevoegde bestuurslaag</w:t>
            </w:r>
          </w:p>
        </w:tc>
        <w:tc>
          <w:tcPr>
            <w:tcW w:w="3250" w:type="pct"/>
          </w:tcPr>
          <w:p w14:paraId="140575F8" w14:textId="77777777" w:rsidR="0056703D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>
              <w:t>Bevoegd tot vaststellen:</w:t>
            </w:r>
          </w:p>
          <w:p w14:paraId="308B677D" w14:textId="77777777" w:rsidR="0056703D" w:rsidRDefault="0056703D" w:rsidP="0056703D">
            <w:pPr>
              <w:pStyle w:val="Opsommingtekens1"/>
            </w:pPr>
            <w:r>
              <w:t>gemeente</w:t>
            </w:r>
          </w:p>
          <w:p w14:paraId="6F0DE952" w14:textId="77777777" w:rsidR="0056703D" w:rsidRDefault="0056703D" w:rsidP="0056703D">
            <w:pPr>
              <w:pStyle w:val="Opsommingtekens1"/>
            </w:pPr>
            <w:r>
              <w:t>provincie</w:t>
            </w:r>
          </w:p>
          <w:p w14:paraId="03BCD080" w14:textId="77777777" w:rsidR="0056703D" w:rsidRPr="00625D33" w:rsidRDefault="0056703D" w:rsidP="0056703D">
            <w:pPr>
              <w:pStyle w:val="Opsommingtekens1"/>
            </w:pPr>
            <w:r>
              <w:t>Rijk</w:t>
            </w:r>
          </w:p>
        </w:tc>
      </w:tr>
      <w:tr w:rsidR="0056703D" w:rsidRPr="00F62F31" w14:paraId="5A85ED47" w14:textId="77777777" w:rsidTr="0056703D">
        <w:tc>
          <w:tcPr>
            <w:tcW w:w="1750" w:type="pct"/>
          </w:tcPr>
          <w:p w14:paraId="352D5ECE" w14:textId="77777777" w:rsidR="0056703D" w:rsidRPr="00F62F31" w:rsidRDefault="0056703D" w:rsidP="0056703D">
            <w:r w:rsidRPr="00F62F31">
              <w:t>Bestuursorgaan</w:t>
            </w:r>
          </w:p>
        </w:tc>
        <w:tc>
          <w:tcPr>
            <w:tcW w:w="3250" w:type="pct"/>
          </w:tcPr>
          <w:p w14:paraId="289AD430" w14:textId="77777777" w:rsidR="0056703D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>
              <w:t>Bevoegd tot vaststellen:</w:t>
            </w:r>
          </w:p>
          <w:p w14:paraId="56CAF6A0" w14:textId="77777777" w:rsidR="0056703D" w:rsidRDefault="0056703D" w:rsidP="0056703D">
            <w:pPr>
              <w:pStyle w:val="Opsommingtekens1"/>
            </w:pPr>
            <w:r>
              <w:t>gemeente</w:t>
            </w:r>
          </w:p>
          <w:p w14:paraId="43643303" w14:textId="77777777" w:rsidR="0056703D" w:rsidRDefault="0056703D" w:rsidP="0056703D">
            <w:pPr>
              <w:pStyle w:val="Opsommingtekens1"/>
            </w:pPr>
            <w:r>
              <w:t>provincie</w:t>
            </w:r>
          </w:p>
          <w:p w14:paraId="7605E097" w14:textId="77777777" w:rsidR="0056703D" w:rsidRPr="00326292" w:rsidRDefault="0056703D" w:rsidP="0056703D">
            <w:pPr>
              <w:pStyle w:val="Opsommingtekens1"/>
            </w:pPr>
            <w:r>
              <w:t>Rijk</w:t>
            </w:r>
          </w:p>
        </w:tc>
      </w:tr>
      <w:tr w:rsidR="0056703D" w:rsidRPr="00F62F31" w14:paraId="668FAD40" w14:textId="77777777" w:rsidTr="0056703D">
        <w:tc>
          <w:tcPr>
            <w:tcW w:w="1750" w:type="pct"/>
          </w:tcPr>
          <w:p w14:paraId="5EEC9056" w14:textId="77777777" w:rsidR="0056703D" w:rsidRPr="00F62F31" w:rsidRDefault="0056703D" w:rsidP="0056703D">
            <w:pPr>
              <w:rPr>
                <w:rFonts w:eastAsia="Verdana" w:cs="Verdana"/>
              </w:rPr>
            </w:pPr>
            <w:r>
              <w:lastRenderedPageBreak/>
              <w:t xml:space="preserve">Omgevingsdocument </w:t>
            </w:r>
            <w:r w:rsidRPr="00F62F31">
              <w:t>kan rechtstreeks ander</w:t>
            </w:r>
            <w:r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346A2163" w14:textId="77777777" w:rsidR="0056703D" w:rsidRPr="00F62F31" w:rsidRDefault="0056703D" w:rsidP="0056703D">
            <w:r w:rsidRPr="00F62F31">
              <w:t>Nee</w:t>
            </w:r>
          </w:p>
        </w:tc>
      </w:tr>
      <w:tr w:rsidR="0056703D" w:rsidRPr="00F62F31" w14:paraId="3F906CD7" w14:textId="77777777" w:rsidTr="0056703D">
        <w:tc>
          <w:tcPr>
            <w:tcW w:w="1750" w:type="pct"/>
          </w:tcPr>
          <w:p w14:paraId="30F66BBC" w14:textId="77777777" w:rsidR="0056703D" w:rsidRPr="00F62F31" w:rsidRDefault="0056703D" w:rsidP="0056703D">
            <w:pPr>
              <w:rPr>
                <w:rFonts w:eastAsia="Verdana" w:cs="Verdana"/>
              </w:rPr>
            </w:pPr>
            <w:r w:rsidRPr="00F62F31">
              <w:t>Ander</w:t>
            </w:r>
            <w:r>
              <w:t xml:space="preserve"> omgevingsdocument </w:t>
            </w:r>
            <w:r w:rsidRPr="00F62F31">
              <w:t>kan rechtstreeks onderhavig</w:t>
            </w:r>
            <w:r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788FCBF5" w14:textId="77777777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Nee</w:t>
            </w:r>
          </w:p>
        </w:tc>
      </w:tr>
      <w:tr w:rsidR="0056703D" w:rsidRPr="00F62F31" w14:paraId="1A519D13" w14:textId="77777777" w:rsidTr="0056703D">
        <w:tc>
          <w:tcPr>
            <w:tcW w:w="1750" w:type="pct"/>
          </w:tcPr>
          <w:p w14:paraId="22AC513E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47B588E5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09EB512E" w14:textId="77777777" w:rsidR="0056703D" w:rsidRPr="00F62F31" w:rsidRDefault="0056703D" w:rsidP="0056703D">
      <w:pPr>
        <w:pStyle w:val="Tabeltitel"/>
      </w:pPr>
      <w:bookmarkStart w:id="32" w:name="_Ref_7aa8cb87ceb7cc8a6852b7c142e2c1ac_3"/>
      <w:r w:rsidRPr="00F62F31">
        <w:t>Vergelijking met huidige rechtsfiguren en RO Standaarden</w:t>
      </w:r>
      <w:bookmarkEnd w:id="32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56703D" w:rsidRPr="00F62F31" w14:paraId="52D9B5E6" w14:textId="77777777" w:rsidTr="0056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3961825" w14:textId="77777777" w:rsidR="0056703D" w:rsidRPr="00F62F31" w:rsidRDefault="0056703D" w:rsidP="0056703D">
            <w:r w:rsidRPr="00F62F31">
              <w:t>Onderwerp</w:t>
            </w:r>
          </w:p>
        </w:tc>
        <w:tc>
          <w:tcPr>
            <w:tcW w:w="3250" w:type="pct"/>
          </w:tcPr>
          <w:p w14:paraId="50291364" w14:textId="77777777" w:rsidR="0056703D" w:rsidRPr="00F62F31" w:rsidRDefault="0056703D" w:rsidP="0056703D">
            <w:r w:rsidRPr="00F62F31">
              <w:t>Specificatie</w:t>
            </w:r>
          </w:p>
        </w:tc>
      </w:tr>
      <w:tr w:rsidR="0056703D" w:rsidRPr="00F62F31" w14:paraId="3EBE21C6" w14:textId="77777777" w:rsidTr="0056703D">
        <w:tc>
          <w:tcPr>
            <w:tcW w:w="1750" w:type="pct"/>
          </w:tcPr>
          <w:p w14:paraId="052418D7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t>Vergelijkbaar met</w:t>
            </w:r>
            <w:r>
              <w:t xml:space="preserve"> </w:t>
            </w:r>
            <w:r w:rsidRPr="00F62F31">
              <w:t>/ voortzetting van huidige rechtsfiguur</w:t>
            </w:r>
          </w:p>
        </w:tc>
        <w:tc>
          <w:tcPr>
            <w:tcW w:w="3250" w:type="pct"/>
          </w:tcPr>
          <w:p w14:paraId="54D9B33E" w14:textId="77777777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  <w:rPr>
                <w:rFonts w:eastAsia="Verdana" w:cs="Verdana"/>
              </w:rPr>
            </w:pPr>
            <w:r w:rsidRPr="00593D02">
              <w:t>Structuurvisie op basis van Wro</w:t>
            </w:r>
          </w:p>
        </w:tc>
      </w:tr>
      <w:tr w:rsidR="0056703D" w:rsidRPr="00F62F31" w14:paraId="1543A277" w14:textId="77777777" w:rsidTr="0056703D">
        <w:tc>
          <w:tcPr>
            <w:tcW w:w="1750" w:type="pct"/>
          </w:tcPr>
          <w:p w14:paraId="1F227103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t>Voortzetting van instrument in</w:t>
            </w:r>
            <w:r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07564FE4" w14:textId="77777777" w:rsidR="0056703D" w:rsidRPr="00F62F31" w:rsidRDefault="0056703D" w:rsidP="0056703D">
            <w:pPr>
              <w:rPr>
                <w:color w:val="000000" w:themeColor="text1"/>
                <w:szCs w:val="18"/>
              </w:rPr>
            </w:pPr>
            <w:r w:rsidRPr="00F62F31">
              <w:rPr>
                <w:szCs w:val="18"/>
              </w:rPr>
              <w:t xml:space="preserve">Ja, </w:t>
            </w:r>
            <w:r>
              <w:rPr>
                <w:szCs w:val="18"/>
              </w:rPr>
              <w:t>structuurvisie</w:t>
            </w:r>
          </w:p>
        </w:tc>
      </w:tr>
      <w:tr w:rsidR="0056703D" w:rsidRPr="00F62F31" w14:paraId="6891C08E" w14:textId="77777777" w:rsidTr="0056703D">
        <w:tc>
          <w:tcPr>
            <w:tcW w:w="1750" w:type="pct"/>
          </w:tcPr>
          <w:p w14:paraId="5EBC7164" w14:textId="77777777" w:rsidR="0056703D" w:rsidRPr="00F62F31" w:rsidRDefault="0056703D" w:rsidP="0056703D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INSPIRE-thema</w:t>
            </w:r>
          </w:p>
        </w:tc>
        <w:tc>
          <w:tcPr>
            <w:tcW w:w="3250" w:type="pct"/>
          </w:tcPr>
          <w:p w14:paraId="7E56F213" w14:textId="77777777" w:rsidR="0056703D" w:rsidRPr="00F62F31" w:rsidRDefault="0056703D" w:rsidP="0056703D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