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142BA" w14:textId="77777777" w:rsidR="0056703D" w:rsidRDefault="0056703D" w:rsidP="0056703D">
      <w:pPr>
        <w:pStyle w:val="Kop4"/>
      </w:pPr>
      <w:r>
        <w:t>Toelichting</w:t>
      </w:r>
    </w:p>
    <w:p w14:paraId="3769D1AE" w14:textId="01AC1616" w:rsidR="0056703D" w:rsidRDefault="0056703D" w:rsidP="0056703D">
      <w:r>
        <w:t xml:space="preserve">Een </w:t>
      </w:r>
      <w:r>
        <w:fldChar w:fldCharType="begin"/>
      </w:r>
      <w:r>
        <w:instrText>DOCVARIABLE ID01</w:instrText>
      </w:r>
      <w:r>
        <w:fldChar w:fldCharType="separate"/>
      </w:r>
      <w:r w:rsidR="00174629">
        <w:t>omgevingsvisie</w:t>
      </w:r>
      <w:r>
        <w:fldChar w:fldCharType="end"/>
      </w:r>
      <w:r>
        <w:t xml:space="preserve"> heeft een </w:t>
      </w:r>
      <w:r w:rsidR="008A75F3">
        <w:t>Vrijetekststructuur</w:t>
      </w:r>
      <w:r>
        <w:t xml:space="preserve"> en kent in tegenstelling tot andere omgevingsdocumenten opgebouwd in de artikelstructuur geen drie afzonderlijke besluitonderdelen maar slechts twee.</w:t>
      </w:r>
    </w:p>
    <w:p w14:paraId="719DE091" w14:textId="6157DF8F" w:rsidR="0056703D" w:rsidRDefault="0056703D" w:rsidP="0056703D">
      <w:r>
        <w:t xml:space="preserve">Voor </w:t>
      </w:r>
      <w:r>
        <w:fldChar w:fldCharType="begin"/>
      </w:r>
      <w:r>
        <w:instrText>DOCVARIABLE ID01+</w:instrText>
      </w:r>
      <w:r>
        <w:fldChar w:fldCharType="separate"/>
      </w:r>
      <w:r w:rsidR="00174629">
        <w:t>de omgevingsvisie</w:t>
      </w:r>
      <w:r>
        <w:fldChar w:fldCharType="end"/>
      </w:r>
      <w:r>
        <w:t xml:space="preserve"> geldt dat het bevoegd gezag de inhoud van </w:t>
      </w:r>
      <w:r>
        <w:fldChar w:fldCharType="begin"/>
      </w:r>
      <w:r>
        <w:instrText>DOCVARIABLE ID01+</w:instrText>
      </w:r>
      <w:r>
        <w:fldChar w:fldCharType="separate"/>
      </w:r>
      <w:r w:rsidR="00174629">
        <w:t>de omgevingsvisie</w:t>
      </w:r>
      <w:r>
        <w:fldChar w:fldCharType="end"/>
      </w:r>
      <w:r>
        <w:t xml:space="preserve"> inclusief het besluit tot vaststelling (of wijziging) van </w:t>
      </w:r>
      <w:r>
        <w:fldChar w:fldCharType="begin"/>
      </w:r>
      <w:r>
        <w:instrText>DOCVARIABLE ID01+</w:instrText>
      </w:r>
      <w:r>
        <w:fldChar w:fldCharType="separate"/>
      </w:r>
      <w:r w:rsidR="00174629">
        <w:t>de omgevingsvisie</w:t>
      </w:r>
      <w:r>
        <w:fldChar w:fldCharType="end"/>
      </w:r>
      <w:r>
        <w:t>, aanlevert via de LVBB aan het DSO.</w:t>
      </w:r>
    </w:p>
    <w:p w14:paraId="50BD0B24" w14:textId="77777777" w:rsidR="0056703D" w:rsidRDefault="0056703D" w:rsidP="0056703D">
      <w:pPr>
        <w:pStyle w:val="Kop6"/>
      </w:pPr>
      <w:r w:rsidRPr="00CE66A9">
        <w:t xml:space="preserve">Deel één: </w:t>
      </w:r>
      <w:r w:rsidRPr="005F0A3C">
        <w:t>vaststellingsdocumenten en motivering</w:t>
      </w:r>
    </w:p>
    <w:p w14:paraId="7F6156A4" w14:textId="3E1FDE28" w:rsidR="0056703D" w:rsidRDefault="0056703D" w:rsidP="0056703D">
      <w:r w:rsidRPr="00E765E4">
        <w:t xml:space="preserve">Dit deel van het besluit bestaat uit de vaststellingsdocumenten en de motivering van het besluit tot vaststelling c.q. wijziging van </w:t>
      </w:r>
      <w:r>
        <w:fldChar w:fldCharType="begin"/>
      </w:r>
      <w:r>
        <w:instrText>DOCVARIABLE ID01+</w:instrText>
      </w:r>
      <w:r>
        <w:fldChar w:fldCharType="separate"/>
      </w:r>
      <w:r w:rsidR="00174629">
        <w:t>de omgevingsvisie</w:t>
      </w:r>
      <w:r>
        <w:fldChar w:fldCharType="end"/>
      </w:r>
      <w:r w:rsidRPr="00E765E4">
        <w:t xml:space="preserve">. Het lijkt op een combinatie van het raadsbesluit, het raadsvoorstel, de zienswijzennota en de toelichting met bijlagen bij </w:t>
      </w:r>
      <w:r>
        <w:t>de gemeentelijke structuurvisie</w:t>
      </w:r>
      <w:r w:rsidRPr="00E765E4">
        <w:t xml:space="preserve"> op basis van de Wet ruimtelijke ordening.</w:t>
      </w:r>
    </w:p>
    <w:p w14:paraId="5445C75D" w14:textId="77777777" w:rsidR="0056703D" w:rsidRPr="00E765E4" w:rsidRDefault="0056703D" w:rsidP="0056703D"/>
    <w:p w14:paraId="13FE294F" w14:textId="77777777" w:rsidR="0056703D" w:rsidRDefault="0056703D" w:rsidP="0056703D">
      <w:r>
        <w:t>Onderstaand beschreven proces voor de vaststelling van een gemeentelijke omgevingsvisie is min of meer vergelijkbaar met het besluit tot vaststelling van een omgevingsvisie van een provincie of het Rijk.</w:t>
      </w:r>
    </w:p>
    <w:p w14:paraId="18836C1B" w14:textId="77777777" w:rsidR="0056703D" w:rsidRDefault="0056703D" w:rsidP="0056703D"/>
    <w:p w14:paraId="04D70853" w14:textId="77777777" w:rsidR="0056703D" w:rsidRDefault="0056703D" w:rsidP="0056703D">
      <w:r w:rsidRPr="00E765E4">
        <w:t xml:space="preserve">Dit deel begint met de vaststellingsdocumenten: de overwegingen van de gemeenteraad c.q. burgemeester en wethouders die leiden tot het nemen van het besluit, waaronder de wijze waarop met de ingekomen zienswijzen is omgegaan en het voorstel tot het nemen van dit besluit (vergelijkbaar met het raadsvoorstel en raadsbesluit tot vaststelling van </w:t>
      </w:r>
      <w:r>
        <w:t>de structuurvisie</w:t>
      </w:r>
      <w:r w:rsidRPr="00E765E4">
        <w:t xml:space="preserve"> op grond van de Wet ruimtelijke ordening, inclusief de zienswijzennota). Daarna volgt de motivering: de inhoudelijke onderbouwing van het besluit. Er wordt toegelicht op welke wijze gevolg is gegeven aan </w:t>
      </w:r>
      <w:r>
        <w:t xml:space="preserve">het beleid van andere bevoegde gezagen en </w:t>
      </w:r>
      <w:r w:rsidRPr="00E765E4">
        <w:t xml:space="preserve">de </w:t>
      </w:r>
      <w:r>
        <w:t>inbreng van externe partijen in het participatieproces</w:t>
      </w:r>
      <w:r w:rsidRPr="00E765E4">
        <w:t xml:space="preserve">. In het geval van een wijzigingsbesluit wordt in dit deel onder andere </w:t>
      </w:r>
      <w:r>
        <w:t xml:space="preserve">gemotiveerd </w:t>
      </w:r>
      <w:r w:rsidRPr="00E765E4">
        <w:t xml:space="preserve">op welke onderdelen de </w:t>
      </w:r>
      <w:r>
        <w:t>omgevingsvisie</w:t>
      </w:r>
      <w:r w:rsidRPr="00E765E4">
        <w:t xml:space="preserve"> wordt aangepast, en wordt verwezen naar voor die wijzigingen relevant beleid uit de omgevingsvisie</w:t>
      </w:r>
      <w:r>
        <w:t>s</w:t>
      </w:r>
      <w:r w:rsidRPr="00E765E4">
        <w:t xml:space="preserve"> van </w:t>
      </w:r>
      <w:r>
        <w:t>andere bevoegde gezagen</w:t>
      </w:r>
      <w:r w:rsidRPr="00E765E4">
        <w:t>.</w:t>
      </w:r>
    </w:p>
    <w:p w14:paraId="48671AB0" w14:textId="77777777" w:rsidR="0056703D" w:rsidRPr="003C5DB8" w:rsidRDefault="0056703D" w:rsidP="0056703D">
      <w:r w:rsidRPr="00E765E4">
        <w:t>Ter ondersteuning van de motivering kunnen bijlagen met onderzoeksgegevens en bescheiden bij dit eerste deel van het vaststellingsbesluit gevoegd zijn.</w:t>
      </w:r>
    </w:p>
    <w:p w14:paraId="3677B72B" w14:textId="77777777" w:rsidR="0056703D" w:rsidRPr="00780C33" w:rsidRDefault="0056703D" w:rsidP="0056703D">
      <w:pPr>
        <w:pStyle w:val="Kop6"/>
      </w:pPr>
      <w:r w:rsidRPr="00780C33">
        <w:t xml:space="preserve">Deel twee: </w:t>
      </w:r>
      <w:r>
        <w:t>omgevingsvisie</w:t>
      </w:r>
    </w:p>
    <w:p w14:paraId="29BAAF4F" w14:textId="2AE3C2BA" w:rsidR="0056703D" w:rsidRDefault="0056703D" w:rsidP="0056703D">
      <w:r>
        <w:t xml:space="preserve">Dit deel van het besluit bestaat uit de daadwerkelijke inhoud van </w:t>
      </w:r>
      <w:r>
        <w:fldChar w:fldCharType="begin"/>
      </w:r>
      <w:r>
        <w:instrText>DOCVARIABLE ID01+</w:instrText>
      </w:r>
      <w:r>
        <w:fldChar w:fldCharType="separate"/>
      </w:r>
      <w:r w:rsidR="00174629">
        <w:t>de omgevingsvisie</w:t>
      </w:r>
      <w:r>
        <w:fldChar w:fldCharType="end"/>
      </w:r>
      <w:r>
        <w:t xml:space="preserve">. Het bestaat ook uit de bij de tekst behorende </w:t>
      </w:r>
      <w:r w:rsidRPr="00946A48">
        <w:t>geografische informatieobjecten die de Locaties vastleggen</w:t>
      </w:r>
      <w:r>
        <w:t>. Bij dit tweede deel kunnen bijlagen worden gevoegd.</w:t>
      </w:r>
    </w:p>
    <w:p w14:paraId="79E4367F" w14:textId="1168E2FD" w:rsidR="0056703D" w:rsidRDefault="0056703D" w:rsidP="0056703D">
      <w:r>
        <w:t xml:space="preserve">In het geval van een wijzigingsbesluit wordt in dit deel concreet aangegeven op welke wijze </w:t>
      </w:r>
      <w:r>
        <w:fldChar w:fldCharType="begin"/>
      </w:r>
      <w:r>
        <w:instrText>DOCVARIABLE ID01+</w:instrText>
      </w:r>
      <w:r>
        <w:fldChar w:fldCharType="separate"/>
      </w:r>
      <w:r w:rsidR="00174629">
        <w:t>de omgevingsvisie</w:t>
      </w:r>
      <w:r>
        <w:fldChar w:fldCharType="end"/>
      </w:r>
      <w:r>
        <w:t xml:space="preserve"> wordt aangepast. Aangegeven wordt welke tekstonderdelen worden toegevoegd, geschrapt, gewijzigd of vervangen door andere. Dit deel van het wijzigingsbesluit is vergelijkbaar met de wijziging van een wet of een verordening. Dit deel wordt weergegeven in ‘renvooiweergave’; een weergave waarin met visuele middelen wordt duidelijk gemaakt wat wordt toegevoegd of geschrapt.</w:t>
      </w:r>
    </w:p>
    <w:p w14:paraId="430BAD4F" w14:textId="77777777" w:rsidR="0056703D" w:rsidRPr="00F62F31" w:rsidRDefault="0056703D" w:rsidP="0056703D"/>
    <w:p w14:paraId="32047D40" w14:textId="39F44C22" w:rsidR="0056703D" w:rsidRPr="00F62F31" w:rsidRDefault="0056703D" w:rsidP="0056703D">
      <w:r w:rsidRPr="00F62F31">
        <w:t>De besluitonderdelen zijn schematisch weer gegeven in</w:t>
      </w:r>
      <w:r>
        <w:t xml:space="preserve"> </w:t>
      </w:r>
      <w:r w:rsidRPr="00843E31">
        <w:rPr>
          <w:rStyle w:val="Verwijzing"/>
        </w:rPr>
        <w:fldChar w:fldCharType="begin"/>
      </w:r>
      <w:r w:rsidRPr="00843E31">
        <w:rPr>
          <w:rStyle w:val="Verwijzing"/>
        </w:rPr>
        <w:instrText xml:space="preserve"> REF _Ref_1242b4a877c03dd089bb257bddf8f6fb_1 \n \h </w:instrText>
      </w:r>
      <w:r w:rsidRPr="00843E31">
        <w:rPr>
          <w:rStyle w:val="Verwijzing"/>
        </w:rPr>
      </w:r>
      <w:r w:rsidRPr="00843E31">
        <w:rPr>
          <w:rStyle w:val="Verwijzing"/>
        </w:rPr>
        <w:fldChar w:fldCharType="separate"/>
      </w:r>
      <w:r w:rsidR="00174629" w:rsidRPr="00843E31">
        <w:rPr>
          <w:rStyle w:val="Verwijzing"/>
        </w:rPr>
        <w:t>Figuur 4</w:t>
      </w:r>
      <w:r w:rsidRPr="00843E31">
        <w:rPr>
          <w:rStyle w:val="Verwijzing"/>
        </w:rPr>
        <w:fldChar w:fldCharType="end"/>
      </w:r>
      <w:r w:rsidRPr="00F62F31">
        <w:t>.</w:t>
      </w:r>
    </w:p>
    <w:p w14:paraId="7145DA03" w14:textId="77777777" w:rsidR="0056703D" w:rsidRPr="00D91B0C" w:rsidRDefault="0056703D" w:rsidP="0056703D">
      <w:pPr>
        <w:pStyle w:val="Figuur"/>
      </w:pPr>
      <w:r>
        <w:rPr>
          <w:noProof/>
        </w:rPr>
        <w:drawing>
          <wp:inline distT="0" distB="0" distL="0" distR="0" wp14:anchorId="0B3D6F3F" wp14:editId="4EE1818D">
            <wp:extent cx="2407920" cy="2262505"/>
            <wp:effectExtent l="0" t="0" r="0" b="444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85836" cy="2335716"/>
                    </a:xfrm>
                    <a:prstGeom prst="rect">
                      <a:avLst/>
                    </a:prstGeom>
                    <a:noFill/>
                  </pic:spPr>
                </pic:pic>
              </a:graphicData>
            </a:graphic>
          </wp:inline>
        </w:drawing>
      </w:r>
    </w:p>
    <w:p w14:paraId="1FC99629" w14:textId="77777777" w:rsidR="0056703D" w:rsidRPr="00F62F31" w:rsidRDefault="0056703D" w:rsidP="0056703D">
      <w:pPr>
        <w:pStyle w:val="Figuurbijschrift"/>
        <w:tabs>
          <w:tab w:val="clear" w:pos="1134"/>
          <w:tab w:val="num" w:pos="992"/>
        </w:tabs>
        <w:spacing w:line="259" w:lineRule="auto"/>
      </w:pPr>
      <w:bookmarkStart w:id="86" w:name="_Ref_1242b4a877c03dd089bb257bddf8f6fb_1"/>
      <w:r w:rsidRPr="00F62F31">
        <w:t>Schematische weergave besluitonderdelen</w:t>
      </w:r>
      <w:bookmarkEnd w:id="86"/>
    </w:p>
    <w:p w14:paraId="13925A1F" w14:textId="2D25ABD1" w:rsidR="0056703D" w:rsidRPr="00E158BE" w:rsidRDefault="0056703D" w:rsidP="0056703D">
      <w:r>
        <w:t xml:space="preserve">In paragraaf </w:t>
      </w:r>
      <w:r w:rsidRPr="00843E31">
        <w:rPr>
          <w:rStyle w:val="Verwijzing"/>
        </w:rPr>
        <w:fldChar w:fldCharType="begin"/>
      </w:r>
      <w:r w:rsidRPr="00843E31">
        <w:rPr>
          <w:rStyle w:val="Verwijzing"/>
        </w:rPr>
        <w:instrText xml:space="preserve"> REF _Ref_377cb0eb2f759ac5d8c4394bed957de6_1 </w:instrText>
      </w:r>
      <w:r w:rsidR="002C754B" w:rsidRPr="00843E31">
        <w:rPr>
          <w:rStyle w:val="Verwijzing"/>
        </w:rPr>
        <w:instrText>\n \h</w:instrText>
      </w:r>
      <w:r w:rsidRPr="00843E31">
        <w:rPr>
          <w:rStyle w:val="Verwijzing"/>
        </w:rPr>
        <w:instrText xml:space="preserve"> </w:instrText>
      </w:r>
      <w:r w:rsidRPr="00843E31">
        <w:rPr>
          <w:rStyle w:val="Verwijzing"/>
        </w:rPr>
      </w:r>
      <w:r w:rsidRPr="00843E31">
        <w:rPr>
          <w:rStyle w:val="Verwijzing"/>
        </w:rPr>
        <w:fldChar w:fldCharType="separate"/>
      </w:r>
      <w:r w:rsidR="00174629" w:rsidRPr="00843E31">
        <w:rPr>
          <w:rStyle w:val="Verwijzing"/>
        </w:rPr>
        <w:t>7.2</w:t>
      </w:r>
      <w:r w:rsidRPr="00843E31">
        <w:rPr>
          <w:rStyle w:val="Verwijzing"/>
        </w:rPr>
        <w:fldChar w:fldCharType="end"/>
      </w:r>
      <w:r>
        <w:t xml:space="preserve"> wordt de toepassing voor omgevingsdocumenten van de tekstmodellen van STOP voor Regeling en Besluit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2" Type="http://schemas.openxmlformats.org/officeDocument/2006/relationships/image" Target="media/image_36c0688390a649a62d7ce743d3f4a2c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