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CDF0" w14:textId="466BBCF4" w:rsidR="00E33EDD" w:rsidRPr="002D2D4E" w:rsidRDefault="00E33EDD" w:rsidP="00E33EDD">
      <w:pPr>
        <w:pStyle w:val="Kop3"/>
      </w:pPr>
      <w:bookmarkStart w:id="12" w:name="_Ref_dcae98d750cea11918bc082bce50feb7_1"/>
      <w:r w:rsidRPr="002D2D4E">
        <w:t>Kenschets rechtsfiguur</w:t>
      </w:r>
      <w:bookmarkEnd w:id="12"/>
    </w:p>
    <w:p w14:paraId="665F169F" w14:textId="41C79F26" w:rsidR="008E2F05" w:rsidRPr="002D2D4E" w:rsidRDefault="008E2F05" w:rsidP="008E2F05">
      <w:r w:rsidRPr="002D2D4E">
        <w:t xml:space="preserve">Rijk, provincies en waterschappen kunnen besluiten tot het uitvoeren van een (vaak) </w:t>
      </w:r>
      <w:r w:rsidR="00FD36F2" w:rsidRPr="002D2D4E">
        <w:t>complex</w:t>
      </w:r>
      <w:r w:rsidRPr="002D2D4E">
        <w:t xml:space="preserve"> project in de fysieke leefomgeving door middel van het projectbesluit. Het projectbesluit heeft alleen betrekking op projecten waar een nationaal, provinciaal of waterstaatsbelang mee gemoeid is of indien een privaat belang samenvalt met een publiek belang, zoals de aanleg van een windpark.</w:t>
      </w:r>
    </w:p>
    <w:p w14:paraId="68F3CB85" w14:textId="77777777" w:rsidR="008E2F05" w:rsidRPr="002D2D4E" w:rsidRDefault="008E2F05" w:rsidP="008E2F05"/>
    <w:p w14:paraId="6BD38D86" w14:textId="77777777" w:rsidR="008E2F05" w:rsidRPr="002D2D4E" w:rsidRDefault="008E2F05" w:rsidP="008E2F05">
      <w:r w:rsidRPr="002D2D4E">
        <w:t>Het projectbesluit is gericht op het uitvoeren van een project en het in werking hebben of in stand houden daarvan. Voor een aantal categorieën van projecten is het vaststellen van een projectbesluit verplicht, voor andere projecten van publiek belang is het mogelijk om een projectbesluit, na toepassing van de projectprocedure, vast te stellen.</w:t>
      </w:r>
    </w:p>
    <w:p w14:paraId="2DE93036" w14:textId="77777777" w:rsidR="008E2F05" w:rsidRPr="002D2D4E" w:rsidRDefault="008E2F05" w:rsidP="008E2F05"/>
    <w:p w14:paraId="02205DA6" w14:textId="573E71A6" w:rsidR="008E2F05" w:rsidRPr="002D2D4E" w:rsidRDefault="008E2F05" w:rsidP="008E2F05">
      <w:r w:rsidRPr="002D2D4E">
        <w:t xml:space="preserve">Het projectbesluit heeft een bijzonder karakter. Het bevat de maatregelen en kan alle </w:t>
      </w:r>
      <w:r w:rsidR="00FD36F2" w:rsidRPr="002D2D4E">
        <w:t>toestemmingen</w:t>
      </w:r>
      <w:r w:rsidRPr="002D2D4E">
        <w:t xml:space="preserve"> bevatten die nodig zijn voor de uitvoering van het project. Het projectbesluit geldt als omgevingsvergunning voor de expliciet in het projectbesluit genoemde activiteiten en als toestemming voor andere in het projectbesluit benoemde activiteiten. Met het oog op de voorbereiding van een projectbesluit kunnen provinciale staten respectievelijk de minister een voorbereidingsbesluit nemen.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