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E664" w14:textId="77777777" w:rsidR="000E3A0B" w:rsidRPr="002D2D4E" w:rsidRDefault="000E3A0B" w:rsidP="000E3A0B">
      <w:pPr>
        <w:pStyle w:val="Kop3"/>
      </w:pPr>
      <w:bookmarkStart w:id="21" w:name="_Ref_1c724322bf1111ec9904477bc5d4eb0f_1"/>
      <w:r w:rsidRPr="002D2D4E">
        <w:t>Projectbesluit en projectprocedure</w:t>
      </w:r>
      <w:bookmarkEnd w:id="21"/>
    </w:p>
    <w:p w14:paraId="6F89B073" w14:textId="5E34051D" w:rsidR="00444AC3" w:rsidRPr="0093317E" w:rsidRDefault="000E3A0B" w:rsidP="00194950">
      <w:r w:rsidRPr="002D2D4E">
        <w:t xml:space="preserve">Rijk, provincies en waterschappen kunnen overgaan tot nemen van een projectbesluit. Het is het sluitstuk van een projectprocedure (zie </w:t>
      </w:r>
      <w:r w:rsidRPr="006A03EE">
        <w:rPr>
          <w:rStyle w:val="Verwijzing"/>
        </w:rPr>
        <w:fldChar w:fldCharType="begin"/>
      </w:r>
      <w:r w:rsidRPr="006A03EE">
        <w:rPr>
          <w:rStyle w:val="Verwijzing"/>
        </w:rPr>
        <w:instrText xml:space="preserve"> REF _Ref_b95af6191fa94ab5ddb44cea030af994_1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Bijlage 2</w:t>
      </w:r>
      <w:r w:rsidRPr="006A03EE">
        <w:rPr>
          <w:rStyle w:val="Verwijzing"/>
        </w:rPr>
        <w:fldChar w:fldCharType="end"/>
      </w:r>
      <w:r w:rsidRPr="002D2D4E">
        <w:t>).</w:t>
      </w:r>
      <w:r w:rsidRPr="00A80EBC">
        <w:t xml:space="preserve"> Het projectbesluit kan het omgevi</w:t>
      </w:r>
      <w:r w:rsidRPr="0090054C">
        <w:t>ngsplan wijzigen met regels die nodig zijn voor het uitvoeren en in werking hebben of in stand houden van het project.</w:t>
      </w:r>
      <w:bookmarkStart w:id="24" w:name="_Ref_1c724322bf1111ec9904477bc5d4eb0f_2"/>
      <w:r w:rsidR="00175671">
        <w:fldChar w:fldCharType="begin"/>
      </w:r>
      <w:r w:rsidR="00175671">
        <w:instrText xml:space="preserve"> DOCVARIABLE ID01+_CAPS </w:instrText>
      </w:r>
      <w:r w:rsidR="00175671">
        <w:fldChar w:fldCharType="separate"/>
      </w:r>
      <w:r w:rsidR="0031485F">
        <w:t>Het projectbesluit</w:t>
      </w:r>
      <w:r w:rsidR="00175671">
        <w:fldChar w:fldCharType="end"/>
      </w:r>
      <w:r w:rsidR="00444AC3" w:rsidRPr="0093317E">
        <w:t xml:space="preserve"> </w:t>
      </w:r>
      <w:r w:rsidR="00690A05" w:rsidRPr="0093317E">
        <w:t>wijzigt</w:t>
      </w:r>
      <w:r w:rsidR="00444AC3" w:rsidRPr="0093317E">
        <w:t xml:space="preserve"> </w:t>
      </w:r>
      <w:r w:rsidR="00AC24F7" w:rsidRPr="0093317E">
        <w:t>het omgevingsplan</w:t>
      </w:r>
      <w:r w:rsidR="00690A05" w:rsidRPr="0093317E">
        <w:t>: meervoudig bronhouderschap</w:t>
      </w:r>
      <w:bookmarkEnd w:id="24"/>
    </w:p>
    <w:p w14:paraId="33F47F28" w14:textId="31EE4286" w:rsidR="008628FB" w:rsidRPr="002D2D4E" w:rsidRDefault="008628FB" w:rsidP="008628FB">
      <w:r w:rsidRPr="002D2D4E">
        <w:t xml:space="preserve">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 die andere typen besluiten nemen die leiden tot wijziging van het omgevingsplan. Gedeputeerde Staten kunnen met een reactieve interventie besluiten dat een onderdeel van een besluit tot vaststelling of wijziging van het omgevingsplan geen deel van het omgevingsplan uitmaakt (artikel 16.21 Ow). Waterschap, provincie en Rijk kunnen een projectbesluit vaststellen dat het omgevingsplan wijzigt met regels die nodig zijn voor het uitvoeren en in werking hebben of in stand houden van het project (artikel 5.52 lid 1 Ow). Een voorbereidingsbesluit wijzigt het omgevingsplan met voorbeschermingsregels; zo’n voorbereidingsbesluit kan worden genomen door gemeente (artikel 4.14 Ow) of door provincie of Rijk (artikel 4.16 Ow). De wetgever heeft reactieve interventie, projectbesluit en voorbereidingsbesluit zo bedoeld dat het nemen ervan tot gevolg heeft dat  het omgevingsplan, dus een ander type omgevingsdocument, wijzigt. Technisch uitgedrukt zijn er bij een voorbereidingsbesluit op grond van artikel 4.16 Ow, een reactieve interventie en een projectbesluit meerdere bevoegde gezagen, oftewel </w:t>
      </w:r>
      <w:r w:rsidRPr="002D2D4E">
        <w:lastRenderedPageBreak/>
        <w:t>bronhouders, die het omgevingsplan kunnen wijzigen. Dit wordt meervoudig bronhouderschap genoemd.</w:t>
      </w:r>
    </w:p>
    <w:p w14:paraId="45BEE112" w14:textId="77777777" w:rsidR="008628FB" w:rsidRPr="002D2D4E" w:rsidRDefault="008628FB" w:rsidP="008628FB">
      <w:r w:rsidRPr="002D2D4E">
        <w:t>In juridische zin is meervoudig bronhouderschap niet heel ingewikkeld. Gebleken is echter dat meervoudig bronhouderschap in technische zin heel complex is. Enerzijds omdat iedere wijziging niet alleen tekst wijzigt, maar ook locaties, annotaties en geografische informatieobjecten en ook gevolgen kan hebben voor de vragenbomen waarmee het omgevingsplan in het Omgevingsloket bevraagd kan worden. Anderzijds omdat niet eenduidig is hoe wijzigingen uitgevoerd moeten worden. Voor het omgevingsplan geldt namelijk een overgangsfase waarin gemeenten het omgevingsplan stapsgewijs kunnen opbouwen. In die periode bestaat het omgevingsplan uit het omgevingsplan van rechtswege (bestaande uit de geldende bestemmingsplannen c.a. die in Ruimtelijkeplannen.nl zijn gepubliceerd en dan via de overbruggingsfunctie getoond worden), het omgevingsplan van Rijkswege (oftewel de bruidsschatregels) en het omgevingsplan dat de gemeente zelf aan het opbouwen is. Om deze redenen is het niet haalbaar gebleken dat de plansystemen van bevoegde gezagen op de beoogde datum van inwerkingtreden van de Omgevingswet gereed zijn voor de vorm van tweerichtingsverkeer met de LVBB die voor het meervoudig bronhouderschap nodig is.</w:t>
      </w:r>
    </w:p>
    <w:p w14:paraId="398F9B74" w14:textId="1C7AE872" w:rsidR="00690A05" w:rsidRPr="002D2D4E" w:rsidRDefault="008628FB" w:rsidP="008628FB">
      <w:r w:rsidRPr="002D2D4E">
        <w:t>Daarom is er interbestuurlijk besloten om in de eerste periode na het in werking treden van de Omgevingswet geen meervoudig bronhouderschap in tech</w:t>
      </w:r>
      <w:r w:rsidR="00096336" w:rsidRPr="002D2D4E">
        <w:t>n</w:t>
      </w:r>
      <w:r w:rsidRPr="002D2D4E">
        <w:t>ische zin toe te passen, maar te kiezen voor alternatieve oplossingen om zo te komen tot complexiteitsreductie. Voor het projectbesluit bestaan de oplossingen in het overgangsrecht (gedurende de overgangstermijn geldt het projectbesluit als omgevingsvergunning voor de buitenplanse omgevingsplanactiviteit)</w:t>
      </w:r>
      <w:r w:rsidR="00B50E7A">
        <w:t>,</w:t>
      </w:r>
      <w:r w:rsidRPr="002D2D4E">
        <w:t xml:space="preserve"> in afspraken over het wijzigen van het omgevingsplan tussen het bestuursorgaan dat het projectbesluit voorbereidt en vaststelt en de gemeente</w:t>
      </w:r>
      <w:r w:rsidR="00B50E7A">
        <w:t xml:space="preserve">, en </w:t>
      </w:r>
      <w:r w:rsidR="002069B1">
        <w:t>in de inzet van andere instrumenten, zoals de instructie</w:t>
      </w:r>
      <w:r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