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A798" w14:textId="465D74C9" w:rsidR="00E33EDD" w:rsidRPr="002D2D4E" w:rsidRDefault="00E33EDD" w:rsidP="008469D4">
      <w:pPr>
        <w:pStyle w:val="Kop3"/>
      </w:pPr>
      <w:bookmarkStart w:id="26" w:name="_Ref_397a3ab4dcdce48b6ed85a7cb28b491e_1"/>
      <w:r w:rsidRPr="002D2D4E">
        <w:t>Overgangs</w:t>
      </w:r>
      <w:r w:rsidR="00900A7F" w:rsidRPr="002D2D4E">
        <w:t>recht en overgangs</w:t>
      </w:r>
      <w:r w:rsidRPr="002D2D4E">
        <w:t>fase</w:t>
      </w:r>
      <w:bookmarkEnd w:id="26"/>
    </w:p>
    <w:p w14:paraId="2CC09A12" w14:textId="77777777" w:rsidR="009E2DD5" w:rsidRPr="002D2D4E" w:rsidRDefault="009E2DD5" w:rsidP="009E2DD5">
      <w:pPr>
        <w:rPr>
          <w:bCs/>
        </w:rPr>
      </w:pPr>
      <w:r w:rsidRPr="002D2D4E">
        <w:rPr>
          <w:bCs/>
        </w:rPr>
        <w:t>Door de Invoeringswet wordt aan de Omgevingswet een hoofdstuk over overgangsrecht toegevoegd. Artikel 22.16 voorziet in een overgangsfase voor het projectbesluit waar het de relatie met het omgevingsplan betreft.</w:t>
      </w:r>
    </w:p>
    <w:p w14:paraId="73E37E27" w14:textId="77777777" w:rsidR="009E2DD5" w:rsidRPr="002D2D4E" w:rsidRDefault="009E2DD5" w:rsidP="009E2DD5">
      <w:pPr>
        <w:rPr>
          <w:bCs/>
        </w:rPr>
      </w:pPr>
    </w:p>
    <w:p w14:paraId="796B814C" w14:textId="591237F4" w:rsidR="009E2DD5" w:rsidRPr="002D2D4E" w:rsidRDefault="009E2DD5" w:rsidP="009E2DD5">
      <w:pPr>
        <w:rPr>
          <w:bCs/>
        </w:rPr>
      </w:pPr>
      <w:r w:rsidRPr="002D2D4E">
        <w:rPr>
          <w:bCs/>
        </w:rPr>
        <w:t>Deze overgangsfase bestaat uit twee onderdelen. Ten eerste hoeft tot een bij koninklijk besluit te bepalen tijdstip het projectbesluit niet de regels van het omgevingsplan te wijzigen.</w:t>
      </w:r>
    </w:p>
    <w:p w14:paraId="2C4C2670" w14:textId="77777777" w:rsidR="009E2DD5" w:rsidRPr="002D2D4E" w:rsidRDefault="009E2DD5" w:rsidP="009E2DD5">
      <w:pPr>
        <w:rPr>
          <w:bCs/>
        </w:rPr>
      </w:pPr>
    </w:p>
    <w:p w14:paraId="006B6AD6" w14:textId="77777777" w:rsidR="009E2DD5" w:rsidRPr="002D2D4E" w:rsidRDefault="009E2DD5" w:rsidP="009E2DD5">
      <w:pPr>
        <w:rPr>
          <w:bCs/>
        </w:rPr>
      </w:pPr>
      <w:r w:rsidRPr="002D2D4E">
        <w:rPr>
          <w:bCs/>
        </w:rPr>
        <w:t>Voor zover een projectbesluit in deze periode in strijd is met het omgevingsplan, geldt het als een omgevingsvergunning voor een buitenplanse omgevingsplanactiviteit. Ten tweede hoeft, voor zover een projectbesluit geldt als omgevingsvergunning voor een omgevings-planactiviteit, het omgevingsplan niet eerder dan een bij koninklijk besluit te bepalen tijdstip met die vergunning in overeenstemming te zijn gebracht.</w:t>
      </w:r>
    </w:p>
    <w:p w14:paraId="33EE468B" w14:textId="77777777" w:rsidR="009E2DD5" w:rsidRPr="002D2D4E" w:rsidRDefault="009E2DD5" w:rsidP="009E2DD5">
      <w:pPr>
        <w:rPr>
          <w:bCs/>
        </w:rPr>
      </w:pPr>
    </w:p>
    <w:p w14:paraId="69B480A9" w14:textId="488E5DFF" w:rsidR="00F204FF" w:rsidRPr="002D2D4E" w:rsidRDefault="009E2DD5" w:rsidP="00D60D90">
      <w:r w:rsidRPr="002D2D4E">
        <w:t xml:space="preserve">In de overgangsperiode is het dus niet verplicht dat het projectbesluit de regels van het omgevingsplan wijzigt </w:t>
      </w:r>
      <w:r w:rsidR="00F646B7">
        <w:t xml:space="preserve">en is het, zoals we in de vorige paragraaf hebben gezien, technishc ook niet </w:t>
      </w:r>
      <w:r w:rsidRPr="002D2D4E">
        <w:t>mogelijk.</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