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575E" w14:textId="375BAF04" w:rsidR="00475BDC" w:rsidRPr="002D2D4E" w:rsidRDefault="00475BDC" w:rsidP="00475BDC">
      <w:pPr>
        <w:pStyle w:val="Kop3"/>
      </w:pPr>
      <w:r w:rsidRPr="002D2D4E">
        <w:t>Inleiding</w:t>
      </w:r>
    </w:p>
    <w:p w14:paraId="27D37A81" w14:textId="418F44FF" w:rsidR="00475BDC" w:rsidRPr="002D2D4E" w:rsidRDefault="00A46752" w:rsidP="00475BDC">
      <w:r w:rsidRPr="002D2D4E">
        <w:t>IMOW beschrijft vanuit informatiekundig én domeininhoudelijk perspectief de aspecten die van belang zijn voor het annoteren bij het opstellen van omgevingsdocumenten en ten behoeve van de informatieverschaffing in DSO-LV.</w:t>
      </w:r>
    </w:p>
    <w:p w14:paraId="4CF9A307" w14:textId="3056C5AD" w:rsidR="00C73937" w:rsidRPr="002D2D4E" w:rsidRDefault="0076004A" w:rsidP="00475BDC">
      <w:r w:rsidRPr="002D2D4E">
        <w:rPr>
          <w:noProof/>
        </w:rPr>
        <w:drawing>
          <wp:anchor distT="0" distB="0" distL="114300" distR="114300" simplePos="0" relativeHeight="251653632" behindDoc="0" locked="0" layoutInCell="1" allowOverlap="1" wp14:anchorId="20F7CA7B" wp14:editId="43342066">
            <wp:simplePos x="0" y="0"/>
            <wp:positionH relativeFrom="column">
              <wp:posOffset>-4445</wp:posOffset>
            </wp:positionH>
            <wp:positionV relativeFrom="paragraph">
              <wp:posOffset>247547</wp:posOffset>
            </wp:positionV>
            <wp:extent cx="4352925" cy="1901825"/>
            <wp:effectExtent l="0" t="0" r="9525" b="3175"/>
            <wp:wrapTopAndBottom/>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1901825"/>
                    </a:xfrm>
                    <a:prstGeom prst="rect">
                      <a:avLst/>
                    </a:prstGeom>
                    <a:noFill/>
                  </pic:spPr>
                </pic:pic>
              </a:graphicData>
            </a:graphic>
          </wp:anchor>
        </w:drawing>
      </w:r>
    </w:p>
    <w:p w14:paraId="11322919" w14:textId="4DD0EDA1" w:rsidR="00C73937" w:rsidRPr="002D2D4E" w:rsidRDefault="00C73937" w:rsidP="00966889">
      <w:pPr>
        <w:pStyle w:val="Figuurbijschrift"/>
      </w:pPr>
      <w:r w:rsidRPr="002D2D4E">
        <w:t>De hoofdcomponenten van IMOW</w:t>
      </w:r>
    </w:p>
    <w:p w14:paraId="69BB322F" w14:textId="6A09E216" w:rsidR="006A03EE" w:rsidRPr="002D2D4E" w:rsidRDefault="00966889" w:rsidP="006F1075">
      <w:r w:rsidRPr="002D2D4E">
        <w:t>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w:t>
      </w:r>
    </w:p>
    <w:p w14:paraId="081DB2BE" w14:textId="4D812701" w:rsidR="002419CB" w:rsidRPr="002D2D4E" w:rsidRDefault="002419CB" w:rsidP="006F1075">
      <w:r w:rsidRPr="002D2D4E">
        <w:t>Benadrukt wordt dat IMOW alleen van toepassing is op het inhoudelijke deel van omgevingsdocumenten, oftewel het onderdeel dat de artikelen respectievelijk de beleidsteksten bevat.</w:t>
      </w:r>
    </w:p>
    <w:p w14:paraId="1969AFB4" w14:textId="77777777" w:rsidR="006F1075" w:rsidRPr="002D2D4E" w:rsidRDefault="006F1075" w:rsidP="006F1075"/>
    <w:p w14:paraId="7C83107F" w14:textId="590FA3E2" w:rsidR="006F1075" w:rsidRPr="002D2D4E" w:rsidRDefault="006F1075" w:rsidP="006F1075">
      <w:r w:rsidRPr="002D2D4E">
        <w:t xml:space="preserve">In dit hoofdstuk wordt de toepassing van IMOW voor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r w:rsidRPr="002D2D4E">
        <w:t xml:space="preserve"> toegelicht. In paragraaf </w:t>
      </w:r>
      <w:r w:rsidRPr="006A03EE">
        <w:rPr>
          <w:rStyle w:val="Verwijzing"/>
        </w:rPr>
        <w:fldChar w:fldCharType="begin"/>
      </w:r>
      <w:r w:rsidRPr="006A03EE">
        <w:rPr>
          <w:rStyle w:val="Verwijzing"/>
        </w:rPr>
        <w:instrText xml:space="preserve"> REF _Ref_a60f362d01429b9d95dde9b36a33440c_1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6.2</w:t>
      </w:r>
      <w:r w:rsidRPr="006A03EE">
        <w:rPr>
          <w:rStyle w:val="Verwijzing"/>
        </w:rPr>
        <w:fldChar w:fldCharType="end"/>
      </w:r>
      <w:r w:rsidRPr="002D2D4E">
        <w:t xml:space="preserve"> worden de hoofdlijnen beschreven voor het Vormvrije deel. </w:t>
      </w:r>
      <w:r w:rsidRPr="00A80EBC">
        <w:t xml:space="preserve">Paragraaf </w:t>
      </w:r>
      <w:r w:rsidRPr="006A03EE">
        <w:rPr>
          <w:rStyle w:val="Verwijzing"/>
        </w:rPr>
        <w:fldChar w:fldCharType="begin"/>
      </w:r>
      <w:r w:rsidRPr="006A03EE">
        <w:rPr>
          <w:rStyle w:val="Verwijzing"/>
        </w:rPr>
        <w:instrText xml:space="preserve"> REF _Ref_8180ee60413484e063c89a55fb65d2f7_1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6.5</w:t>
      </w:r>
      <w:r w:rsidRPr="006A03EE">
        <w:rPr>
          <w:rStyle w:val="Verwijzing"/>
        </w:rPr>
        <w:fldChar w:fldCharType="end"/>
      </w:r>
      <w:r w:rsidRPr="002D2D4E">
        <w:t xml:space="preserve"> beschrijft de hoofdlijnen van IMOW indien het </w:t>
      </w:r>
      <w:r w:rsidR="002F7EF7">
        <w:t>projectbesluit</w:t>
      </w:r>
      <w:r w:rsidRPr="002D2D4E">
        <w:t xml:space="preserve"> de regels van het </w:t>
      </w:r>
      <w:r w:rsidR="002F7EF7">
        <w:t>omgevingsplan</w:t>
      </w:r>
      <w:r w:rsidRPr="002D2D4E">
        <w:t xml:space="preserve"> wijzigt. Tot slot beschrijft paragraaf </w:t>
      </w:r>
      <w:r w:rsidRPr="006A03EE">
        <w:rPr>
          <w:rStyle w:val="Verwijzing"/>
        </w:rPr>
        <w:fldChar w:fldCharType="begin"/>
      </w:r>
      <w:r w:rsidRPr="006A03EE">
        <w:rPr>
          <w:rStyle w:val="Verwijzing"/>
        </w:rPr>
        <w:instrText xml:space="preserve"> REF _Ref_ef71897daa88efbd6783bcd2b79a95ca_1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6.11</w:t>
      </w:r>
      <w:r w:rsidRPr="006A03EE">
        <w:rPr>
          <w:rStyle w:val="Verwijzing"/>
        </w:rPr>
        <w:fldChar w:fldCharType="end"/>
      </w:r>
      <w:r w:rsidRPr="002D2D4E">
        <w:t xml:space="preserve"> de v</w:t>
      </w:r>
      <w:r w:rsidRPr="00A80EBC">
        <w:t>erplichte en facultatieve onderdelen van de standaard en hun juridische status</w:t>
      </w:r>
      <w:r w:rsidRPr="002D2D4E">
        <w:t>. Daar waar in dit hoofdstuk de naam van een IMOW-object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26" Type="http://schemas.openxmlformats.org/officeDocument/2006/relationships/image" Target="media/image_beea2dd78191d2c2f82ce300113d983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