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06AD" w14:textId="2679F850" w:rsidR="00E33EDD" w:rsidRPr="002D2D4E" w:rsidRDefault="00E33EDD" w:rsidP="00E33EDD">
      <w:pPr>
        <w:pStyle w:val="Kop3"/>
      </w:pPr>
      <w:bookmarkStart w:id="141" w:name="_Ref_9a1ae002c5ed76e90d3caf2908511719_1"/>
      <w:r w:rsidRPr="00152BC0">
        <w:t>Annoteren met IMOW-objecten:</w:t>
      </w:r>
      <w:r w:rsidRPr="00B35132">
        <w:t xml:space="preserve"> </w:t>
      </w:r>
      <w:r w:rsidR="001E75DC" w:rsidRPr="0035275E">
        <w:t xml:space="preserve">bedoeling, </w:t>
      </w:r>
      <w:r w:rsidRPr="0035275E">
        <w:t>objecten en attributen</w:t>
      </w:r>
      <w:bookmarkEnd w:id="141"/>
    </w:p>
    <w:p w14:paraId="7B47681A" w14:textId="726331D6" w:rsidR="006A03EE" w:rsidRPr="002D2D4E" w:rsidRDefault="00663A59" w:rsidP="00C86AD4">
      <w:r w:rsidRPr="002D2D4E">
        <w:t>Deze p</w:t>
      </w:r>
      <w:r w:rsidR="00C86AD4" w:rsidRPr="002D2D4E">
        <w:t xml:space="preserve">aragraaf </w:t>
      </w:r>
      <w:r w:rsidR="00972959" w:rsidRPr="002D2D4E">
        <w:t xml:space="preserve">beschrijft hoe het annoteren met IMOW-objecten in zijn werk gaat. </w:t>
      </w:r>
      <w:r w:rsidR="001E75DC" w:rsidRPr="002D2D4E">
        <w:t xml:space="preserve">Alvorens daar gedetailleerd op in te gaan, wordt begonnen met een beschrijving van hoe het annoteren met IMOW-objecten vanuit de standaard is bedoeld. </w:t>
      </w:r>
      <w:r w:rsidR="00277633" w:rsidRPr="002D2D4E">
        <w:t>D</w:t>
      </w:r>
      <w:r w:rsidR="00C86AD4" w:rsidRPr="002D2D4E">
        <w:t>e objecten, de bijbehorende attributen en waardelijsten</w:t>
      </w:r>
      <w:r w:rsidR="00277633" w:rsidRPr="002D2D4E">
        <w:t xml:space="preserve"> worden gedetailleerd toegelicht</w:t>
      </w:r>
      <w:r w:rsidR="00C86AD4" w:rsidRPr="002D2D4E">
        <w:t>.</w:t>
      </w:r>
    </w:p>
    <w:p w14:paraId="0A5BF10D" w14:textId="627BC671" w:rsidR="006A03EE" w:rsidRPr="002D2D4E" w:rsidRDefault="00E509D2" w:rsidP="00C86AD4">
      <w:r w:rsidRPr="002D2D4E">
        <w:t>Ieder</w:t>
      </w:r>
      <w:r w:rsidR="00385175" w:rsidRPr="002D2D4E">
        <w:t xml:space="preserve"> onderdeel wordt volgens een vast stramien beschreven. Het begint met een toelichting op de toepassing: waarvoor en wanneer wordt het object of attribuut </w:t>
      </w:r>
      <w:r w:rsidR="001E75DC" w:rsidRPr="002D2D4E">
        <w:t xml:space="preserve">in de praktijk </w:t>
      </w:r>
      <w:r w:rsidR="00385175" w:rsidRPr="002D2D4E">
        <w:t>gebruikt</w:t>
      </w:r>
      <w:r w:rsidR="00FD52DF" w:rsidRPr="002D2D4E">
        <w:t xml:space="preserve">. Daarna volgt een definitie van het object, om precies aan te geven waar het over gaat. </w:t>
      </w:r>
      <w:r w:rsidR="001E75DC" w:rsidRPr="002D2D4E">
        <w:t xml:space="preserve">In de volgende subparagraaf wordt aangegeven wat het doel van het objecttype is, met andere woorden: wat is het resultaat, wat levert de extra inspanning van het annoteren met dit object op? </w:t>
      </w:r>
      <w:r w:rsidR="00B32E86" w:rsidRPr="002D2D4E">
        <w:t>Vervolgens wordt de norm gesteld</w:t>
      </w:r>
      <w:r w:rsidR="00194700" w:rsidRPr="002D2D4E">
        <w:t>. Deze subparagraaf begint steeds met een uitsnede van</w:t>
      </w:r>
      <w:r w:rsidR="00261514" w:rsidRPr="002D2D4E">
        <w:t xml:space="preserve"> het IMOW-diagram met daarin die objecten en relaties die relevant zijn.</w:t>
      </w:r>
      <w:r w:rsidR="00B32E86" w:rsidRPr="002D2D4E">
        <w:t xml:space="preserve"> </w:t>
      </w:r>
      <w:r w:rsidR="0059521C" w:rsidRPr="002D2D4E">
        <w:t>De norm somt de attributen op die horen bij dit IMOW-object, waarbij wordt aangegeven of het attribuut verplicht of optioneel is, hoe vaak het attribuut kan of moet voorkomen, of er een waardelijst voor het attribuut bestaat en of er constraints, oftewel voorwaarden voor de toepassing, gelden.</w:t>
      </w:r>
      <w:r w:rsidR="00A6158F" w:rsidRPr="002D2D4E">
        <w:t xml:space="preserve"> De </w:t>
      </w:r>
      <w:r w:rsidR="001E75DC" w:rsidRPr="002D2D4E">
        <w:t>daaropvolgende</w:t>
      </w:r>
      <w:r w:rsidR="00A6158F" w:rsidRPr="002D2D4E">
        <w:t xml:space="preserve"> subparagraaf geeft een toelichting op de attributen</w:t>
      </w:r>
      <w:r w:rsidR="001E75DC" w:rsidRPr="002D2D4E">
        <w:t>,</w:t>
      </w:r>
      <w:r w:rsidR="006E01BC" w:rsidRPr="002D2D4E">
        <w:t xml:space="preserve"> de waardelijsten</w:t>
      </w:r>
      <w:r w:rsidR="001E75DC" w:rsidRPr="002D2D4E">
        <w:t xml:space="preserve"> en de eventuele constraints die samen de norm vormen</w:t>
      </w:r>
      <w:r w:rsidR="004E5FD2" w:rsidRPr="002D2D4E">
        <w:t>.</w:t>
      </w:r>
      <w:bookmarkStart w:id="143" w:name="_Ref_9a1ae002c5ed76e90d3caf2908511719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