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AD26" w14:textId="230E6AAA" w:rsidR="002F7EF7" w:rsidRPr="002D2D4E" w:rsidRDefault="001E75DC" w:rsidP="002F7EF7">
      <w:pPr>
        <w:pStyle w:val="Kop5"/>
      </w:pPr>
      <w:r w:rsidRPr="002D2D4E">
        <w:t>Doel</w:t>
      </w:r>
    </w:p>
    <w:p w14:paraId="7B1EC58F" w14:textId="45AF280F" w:rsidR="002F7EF7" w:rsidRPr="002D2D4E" w:rsidRDefault="001E75DC" w:rsidP="002F7EF7">
      <w:r w:rsidRPr="002D2D4E">
        <w:t>Doel van het objecttype Bodem is:</w:t>
      </w:r>
    </w:p>
    <w:p w14:paraId="7CE0E997" w14:textId="75953B86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het aspect bodem;</w:t>
      </w:r>
    </w:p>
    <w:p w14:paraId="5B6E302D" w14:textId="5A93896B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aspect bodem gelden;</w:t>
      </w:r>
    </w:p>
    <w:p w14:paraId="5289F628" w14:textId="06DAB1B9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