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CD88" w14:textId="4E47C20C" w:rsidR="002F7EF7" w:rsidRPr="002D2D4E" w:rsidRDefault="001E75DC" w:rsidP="002F7EF7">
      <w:pPr>
        <w:pStyle w:val="Kop5"/>
      </w:pPr>
      <w:r w:rsidRPr="002D2D4E">
        <w:t>Toelichting op de norm</w:t>
      </w:r>
    </w:p>
    <w:p w14:paraId="3B6391EE" w14:textId="312519D6" w:rsidR="002F7EF7" w:rsidRPr="00A80EBC" w:rsidRDefault="001E75DC" w:rsidP="002F7EF7">
      <w:pPr>
        <w:pStyle w:val="Opsommingtekens1"/>
      </w:pPr>
      <w:r w:rsidRPr="002D2D4E">
        <w:rPr>
          <w:i/>
          <w:iCs/>
        </w:rPr>
        <w:t>type</w:t>
      </w:r>
      <w:r w:rsidRPr="002D2D4E">
        <w:t xml:space="preserve">: attribuut dat aangeeft van welk type deze specifieke Gebiedsaanwijzing is. In dit geval wordt uit de limitatieve waardelijst ‘TypeGebiedsaanwijzing’ altijd Energievoorziening gekozen. Zie voor verdere toelichting paragraaf </w:t>
      </w:r>
      <w:r w:rsidRPr="006A03EE">
        <w:rPr>
          <w:rStyle w:val="Verwijzing"/>
        </w:rPr>
        <w:fldChar w:fldCharType="begin"/>
      </w:r>
      <w:r w:rsidRPr="006A03EE">
        <w:rPr>
          <w:rStyle w:val="Verwijzing"/>
        </w:rPr>
        <w:instrText xml:space="preserve"> REF _Ref_1f1400dc622a70fb2c884625f8f140fa_5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585583C7" w14:textId="4E95A237" w:rsidR="002F7EF7" w:rsidRPr="002D2D4E" w:rsidRDefault="001E75DC" w:rsidP="002F7EF7">
      <w:pPr>
        <w:pStyle w:val="Opsommingtekens1"/>
      </w:pPr>
      <w:r w:rsidRPr="00A80EBC">
        <w:rPr>
          <w:i/>
          <w:iCs/>
        </w:rPr>
        <w:lastRenderedPageBreak/>
        <w:t>naam</w:t>
      </w:r>
      <w:r w:rsidRPr="00127644">
        <w:t xml:space="preserve">: door het bevoegd gezag zelf te kiezen, er is geen waardelijst voor de naam van specifieke vormen van de Gebiedsaanwijzing Energievoorziening. De naam mag ook dezelfde zijn als de naam van de </w:t>
      </w:r>
      <w:r w:rsidR="002C2B79" w:rsidRPr="002D2D4E">
        <w:t>Energievoorziening</w:t>
      </w:r>
      <w:r w:rsidRPr="002D2D4E">
        <w:t>groep.</w:t>
      </w:r>
    </w:p>
    <w:p w14:paraId="02716642" w14:textId="64E99118" w:rsidR="002F7EF7" w:rsidRPr="002D2D4E" w:rsidRDefault="001E75DC" w:rsidP="002F7EF7">
      <w:pPr>
        <w:pStyle w:val="Opsommingtekens1"/>
      </w:pPr>
      <w:r w:rsidRPr="002D2D4E">
        <w:rPr>
          <w:i/>
          <w:iCs/>
        </w:rPr>
        <w:t>groep</w:t>
      </w:r>
      <w:r w:rsidRPr="002D2D4E">
        <w:t xml:space="preserve">: om een groot aantal verschillende specifieke vormen van de Gebiedsaanwijzing Energievoorziening op een kaart te kunnen weergeven op een manier die voor het menselijk oog voldoende onderscheidend is, worden ze gebundeld in groepen. </w:t>
      </w:r>
      <w:r w:rsidR="00B06BD9" w:rsidRPr="002D2D4E">
        <w:t>De groep vormt het kenmerk waarop de symbolisatie (kleur, arcering, lijnstijl) van de standaardweergave wordt georganiseerd</w:t>
      </w:r>
      <w:r w:rsidRPr="002D2D4E">
        <w:t>. De groepen die gebruikt kunnen worden zijn opgenomen in de limitatieve waardelijst Energievoorzieninggroep’.</w:t>
      </w:r>
    </w:p>
    <w:p w14:paraId="74092483" w14:textId="4203D2CE"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8A786F"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962C58">
        <w:br/>
      </w:r>
      <w:r w:rsidR="00962C58"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C58" w:rsidRPr="00BE505F">
        <w:rPr>
          <w:i/>
          <w:iCs/>
        </w:rPr>
        <w:t>specifiekeSymbolisatie</w:t>
      </w:r>
      <w:r w:rsidR="00962C58" w:rsidRPr="00BE505F">
        <w:t xml:space="preserve"> maar van het objecttype SymbolisatieItem. Zie hiervoor paragraaf </w:t>
      </w:r>
      <w:r w:rsidR="00962C58" w:rsidRPr="006A03EE">
        <w:rPr>
          <w:rStyle w:val="Verwijzing"/>
        </w:rPr>
        <w:fldChar w:fldCharType="begin"/>
      </w:r>
      <w:r w:rsidR="00962C58" w:rsidRPr="006A03EE">
        <w:rPr>
          <w:rStyle w:val="Verwijzing"/>
        </w:rPr>
        <w:instrText xml:space="preserve"> REF _Ref_848aa3a4c277b00b729a862026d8a73e_1 </w:instrText>
      </w:r>
      <w:r w:rsidR="005F111F" w:rsidRPr="006A03EE">
        <w:rPr>
          <w:rStyle w:val="Verwijzing"/>
        </w:rPr>
        <w:instrText>\n \h</w:instrText>
      </w:r>
      <w:r w:rsidR="00962C58" w:rsidRPr="006A03EE">
        <w:rPr>
          <w:rStyle w:val="Verwijzing"/>
        </w:rPr>
        <w:instrText xml:space="preserve"> </w:instrText>
      </w:r>
      <w:r w:rsidR="00962C58" w:rsidRPr="006A03EE">
        <w:rPr>
          <w:rStyle w:val="Verwijzing"/>
        </w:rPr>
      </w:r>
      <w:r w:rsidR="00962C58" w:rsidRPr="006A03EE">
        <w:rPr>
          <w:rStyle w:val="Verwijzing"/>
        </w:rPr>
        <w:fldChar w:fldCharType="separate"/>
      </w:r>
      <w:r w:rsidR="0031485F" w:rsidRPr="006A03EE">
        <w:rPr>
          <w:rStyle w:val="Verwijzing"/>
        </w:rPr>
        <w:t>6.7.29</w:t>
      </w:r>
      <w:r w:rsidR="00962C58" w:rsidRPr="006A03EE">
        <w:rPr>
          <w:rStyle w:val="Verwijzing"/>
        </w:rPr>
        <w:fldChar w:fldCharType="end"/>
      </w:r>
      <w:r w:rsidR="00962C58" w:rsidRPr="00BE505F">
        <w:t>.</w:t>
      </w:r>
    </w:p>
    <w:p w14:paraId="4802932A" w14:textId="1059DF86" w:rsidR="002F7EF7" w:rsidRPr="002D2D4E" w:rsidRDefault="001E75DC" w:rsidP="002F7EF7">
      <w:pPr>
        <w:pStyle w:val="Opsommingtekens1"/>
      </w:pPr>
      <w:r w:rsidRPr="002D2D4E">
        <w:rPr>
          <w:i/>
          <w:iCs/>
        </w:rPr>
        <w:t>locatieaanduiding</w:t>
      </w:r>
      <w:r w:rsidRPr="002D2D4E">
        <w:t>: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061D6750" w14:textId="77777777" w:rsidR="002F7EF7" w:rsidRPr="002D2D4E" w:rsidRDefault="002F7EF7" w:rsidP="002F7EF7"/>
    <w:p w14:paraId="7A2FADF0" w14:textId="737CAA75" w:rsidR="002F7EF7" w:rsidRPr="002D2D4E" w:rsidRDefault="001E75DC" w:rsidP="002F7EF7">
      <w:r w:rsidRPr="002D2D4E">
        <w:t xml:space="preserve">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w:t>
      </w:r>
      <w:r w:rsidR="00C4068D" w:rsidRPr="002D2D4E">
        <w:t>Als in een volgende Juridische regel</w:t>
      </w:r>
      <w:r w:rsidR="0022752A" w:rsidRPr="002D2D4E">
        <w:t xml:space="preserve"> </w:t>
      </w:r>
      <w:r w:rsidRPr="002D2D4E">
        <w:t>of Tekstdeel diezelfde specifieke vorm van Energievoorziening wordt gebruikt, wordt in die Juridische regel of Tekstdeel volstaan met een verwijzing naar het betreffende al bestaande Energievoorziening-object, en wordt verwezen naar de Locatie die bij de nieuwe Juridische regel of Tekstdeel hoort. Op deze manier is van iedere afzonderlijke Juridische regel of Tekstdeel over die specifieke vorm van Energievoorziening te zien welke Locatie er bij hoort en is ook zichtbaar welke Locaties horen bij de specifieke vorm van Energievoorziening. Energievoorziening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