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2F7EF7" w:rsidRPr="002D2D4E" w:rsidRDefault="001E75DC" w:rsidP="002F7EF7">
      <w:pPr>
        <w:pStyle w:val="Kop5"/>
      </w:pPr>
      <w:r w:rsidRPr="002D2D4E">
        <w:t>Doel</w:t>
      </w:r>
    </w:p>
    <w:p w14:paraId="483CB295" w14:textId="23962CA3" w:rsidR="002F7EF7" w:rsidRPr="002D2D4E" w:rsidRDefault="001E75DC" w:rsidP="002F7EF7">
      <w:r w:rsidRPr="002D2D4E">
        <w:t>Doel van het objecttype Mijnbouw is:</w:t>
      </w:r>
    </w:p>
    <w:p w14:paraId="0094FFAA" w14:textId="5B56A6FF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mijnbouw;</w:t>
      </w:r>
    </w:p>
    <w:p w14:paraId="6F20BC60" w14:textId="072547B1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mijnbouw gelden;</w:t>
      </w:r>
    </w:p>
    <w:p w14:paraId="0DB013E3" w14:textId="1D7F3F04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