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219E" w14:textId="77777777" w:rsidR="00E63B88" w:rsidRDefault="00E63B88" w:rsidP="00E63B88">
      <w:pPr>
        <w:pStyle w:val="Kop5"/>
      </w:pPr>
      <w:r>
        <w:t>Toelichting op de norm</w:t>
      </w:r>
    </w:p>
    <w:p w14:paraId="23D08271" w14:textId="3A6DD8FE" w:rsidR="00E63B88" w:rsidRDefault="00E63B88" w:rsidP="00E63B88">
      <w:pPr>
        <w:pStyle w:val="Opsommingtekens1"/>
      </w:pPr>
      <w:r w:rsidRPr="00872DAE">
        <w:rPr>
          <w:i/>
          <w:iCs/>
        </w:rPr>
        <w:t>symboolcode</w:t>
      </w:r>
      <w:r>
        <w:t xml:space="preserve">: het attribuut waarmee de gekozen symboolcode wordt vastgelegd. Het bevoegd gezag kiest de symboolcode uit de </w:t>
      </w:r>
      <w:r w:rsidR="00853C34">
        <w:t>symbolenbibliotheek</w:t>
      </w:r>
      <w:r>
        <w:t xml:space="preserve"> die hoort bij de symbolisatie die overeenkomt met de wijze waarop het bevoegd gezag de objecten wil weergeven. Wanneer het object SymbolisatieItem wordt gebruikt, is dat het object dat voor de weergave zorgt. Het gaat dan dus boven de weergave-werking van het attribuut </w:t>
      </w:r>
      <w:r w:rsidRPr="00872DAE">
        <w:rPr>
          <w:i/>
          <w:iCs/>
        </w:rPr>
        <w:t>groep</w:t>
      </w:r>
      <w:r>
        <w:t>.</w:t>
      </w:r>
    </w:p>
    <w:p w14:paraId="1128ECF0" w14:textId="77777777" w:rsidR="00E63B88" w:rsidRPr="0034136F" w:rsidRDefault="00E63B88" w:rsidP="00E63B88">
      <w:pPr>
        <w:pStyle w:val="Opsommingtekens1"/>
      </w:pPr>
      <w:r w:rsidRPr="00872DAE">
        <w:rPr>
          <w:i/>
          <w:iCs/>
        </w:rPr>
        <w:t>activiteitLocatieaanduidingSymbolisatie</w:t>
      </w:r>
      <w:r>
        <w:t xml:space="preserve">, </w:t>
      </w:r>
      <w:r w:rsidRPr="00872DAE">
        <w:rPr>
          <w:i/>
          <w:iCs/>
        </w:rPr>
        <w:t>gebiedsaanwijzingSymbolisatie</w:t>
      </w:r>
      <w:r>
        <w:t xml:space="preserve">, </w:t>
      </w:r>
      <w:r w:rsidRPr="00872DAE">
        <w:rPr>
          <w:i/>
          <w:iCs/>
        </w:rPr>
        <w:t>normwaardeSymbolisatie</w:t>
      </w:r>
      <w:r>
        <w:t>: de attributen die de verwijzing bevatten van het SymbolisatieItem naar de identificatie van een specifieke ActiviteitLocatieaanduiding, Gebiedsaanwijzing of Normwaarde. Dit attribuut geeft aan welke van die objecten weergegeven wordt met de symboolcode uit het SymbolisatieItem. Wanneer er niet verwezen wordt naar de specifieke ActiviteitLocatieaanduiding, Gebiedsaanwijzing of Normwaarde wordt het object weergegeven met de standaardweergave van de groep die bij het specifieke object is aangegeven. Als er wel verwezen wordt naar het specifieke object, dan wordt het weergegeven met de bijbehorende symboolcode.</w:t>
      </w:r>
      <w:r>
        <w:br/>
        <w:t xml:space="preserve">Met </w:t>
      </w:r>
      <w:r w:rsidRPr="00872DAE">
        <w:rPr>
          <w:i/>
          <w:iCs/>
        </w:rPr>
        <w:t>activiteitLocatieaanduidingSymbolisatie</w:t>
      </w:r>
      <w:r>
        <w:t xml:space="preserve"> </w:t>
      </w:r>
      <w:r w:rsidRPr="001C4137">
        <w:t xml:space="preserve">is het mogelijk </w:t>
      </w:r>
      <w:r w:rsidRPr="00FA7C67">
        <w:t xml:space="preserve">om de activiteiten ‘het exploiteren van een discotheek’ en ‘het exploiteren van daghoreca’ ieder op een eigen manier weer te geven in plaats van met de standaardweergave die hoort bij de Activiteitengroep ‘exploitatieactiviteit horeca’. Ook is het </w:t>
      </w:r>
      <w:r>
        <w:t>hier</w:t>
      </w:r>
      <w:r w:rsidRPr="00FA7C67">
        <w:t>me</w:t>
      </w:r>
      <w:r>
        <w:t>e</w:t>
      </w:r>
      <w:r w:rsidRPr="00FA7C67">
        <w:t xml:space="preserve"> mogelijk </w:t>
      </w:r>
      <w:r w:rsidRPr="001C4137">
        <w:t>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w:t>
      </w:r>
      <w:r>
        <w:t xml:space="preserve"> Met </w:t>
      </w:r>
      <w:r w:rsidRPr="00872DAE">
        <w:rPr>
          <w:i/>
          <w:iCs/>
        </w:rPr>
        <w:t>gebiedsaanwijzingSymbolisatie</w:t>
      </w:r>
      <w:r>
        <w:t xml:space="preserve"> kunnen specifieke voorkomens van een type Gebiedsaanwijzing die tot dezelfde groep behoren, ieder op een manier worden weergegeven </w:t>
      </w:r>
      <w:r w:rsidRPr="00145668">
        <w:t>in plaats van met de standaardweergave die hoort bij de</w:t>
      </w:r>
      <w:r>
        <w:t xml:space="preserve"> betreffende groep.</w:t>
      </w:r>
      <w:r>
        <w:br/>
        <w:t xml:space="preserve">Met </w:t>
      </w:r>
      <w:r w:rsidRPr="00872DAE">
        <w:rPr>
          <w:i/>
          <w:iCs/>
        </w:rPr>
        <w:t>normwaardeSymbolisatie</w:t>
      </w:r>
      <w:r>
        <w:t xml:space="preserve"> is het </w:t>
      </w:r>
      <w:r w:rsidRPr="00B93B3E">
        <w:t xml:space="preserve">bijvoorbeeld mogelijk om van een omgevingsnorm </w:t>
      </w:r>
      <w:r>
        <w:t xml:space="preserve">of omgevingswaarde </w:t>
      </w:r>
      <w:r w:rsidRPr="00B93B3E">
        <w:t>alle waarden die liggen tussen 0 en 5 met een rode kleur weer te geven en alle waarden die liggen tussen 6 en 10 met een blauwe kleur.</w:t>
      </w:r>
    </w:p>
    <w:p w14:paraId="573F1C32" w14:textId="77777777" w:rsidR="00A07859" w:rsidRPr="002D2D4E" w:rsidRDefault="00A07859" w:rsidP="002F7EF7"/>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