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BB2C1D" w:rsidRPr="00D368CB" w:rsidRDefault="00644A93" w:rsidP="00BB2C1D">
      <w:pPr>
        <w:pStyle w:val="Kop5"/>
      </w:pPr>
      <w:r w:rsidRPr="00D368CB">
        <w:t>Toelichting op de norm</w:t>
      </w:r>
    </w:p>
    <w:p w14:paraId="173A3048" w14:textId="262D337D" w:rsidR="00BB2C1D" w:rsidRPr="00D368CB" w:rsidRDefault="00644A93" w:rsidP="00BB2C1D">
      <w:r w:rsidRPr="00D368CB">
        <w:t xml:space="preserve">Het attribuut </w:t>
      </w:r>
      <w:r w:rsidRPr="00D368CB">
        <w:rPr>
          <w:i/>
        </w:rPr>
        <w:t>identificatie</w:t>
      </w:r>
      <w:r w:rsidRPr="00D368CB">
        <w:t xml:space="preserve"> behoeft geen toelichting.</w:t>
      </w:r>
    </w:p>
    <w:p w14:paraId="410C39F6" w14:textId="2E5AEB89" w:rsidR="00BB2C1D" w:rsidRPr="00D368CB" w:rsidRDefault="00BB2C1D" w:rsidP="00BB2C1D"/>
    <w:p w14:paraId="2FC27DA4" w14:textId="047CC131" w:rsidR="00BB2C1D" w:rsidRPr="00D368CB" w:rsidRDefault="00644A93" w:rsidP="00BB2C1D">
      <w:r w:rsidRPr="00D368CB">
        <w:t xml:space="preserve">In de uitsnede van het diagram is ook het attribuut </w:t>
      </w:r>
      <w:r w:rsidRPr="00D368CB">
        <w:rPr>
          <w:i/>
          <w:iCs/>
        </w:rPr>
        <w:t>werkingsgebied</w:t>
      </w:r>
      <w:r w:rsidRPr="00D368CB">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Divisie, Tekstdeel en Locatie en geeft aan wat het werkingsgebied van de Divisie is: het gebied waar het Tekstdeel zijn werking heeft. De </w:t>
      </w:r>
      <w:r w:rsidRPr="00D368CB">
        <w:rPr>
          <w:i/>
          <w:iCs/>
        </w:rPr>
        <w:t>relatie</w:t>
      </w:r>
      <w:r w:rsidRPr="00D368CB">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