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5A6B" w14:textId="68CFAD65" w:rsidR="00BB2C1D" w:rsidRPr="00D368CB" w:rsidRDefault="00644A93" w:rsidP="00BB2C1D">
      <w:pPr>
        <w:pStyle w:val="Kop5"/>
      </w:pPr>
      <w:r w:rsidRPr="00D368CB">
        <w:lastRenderedPageBreak/>
        <w:t>Doel</w:t>
      </w:r>
    </w:p>
    <w:p w14:paraId="023BE2A6" w14:textId="30E88097" w:rsidR="00BB2C1D" w:rsidRPr="00D368CB" w:rsidRDefault="00644A93" w:rsidP="00BB2C1D">
      <w:r w:rsidRPr="00D368CB">
        <w:t>Doel van het objecttype Erfgoed is:</w:t>
      </w:r>
    </w:p>
    <w:p w14:paraId="41F37283" w14:textId="3D2CCD25" w:rsidR="00BB2C1D" w:rsidRPr="00D368CB" w:rsidRDefault="00644A93" w:rsidP="00BB2C1D">
      <w:pPr>
        <w:pStyle w:val="Opsommingtekens1"/>
      </w:pPr>
      <w:r w:rsidRPr="00D368CB">
        <w:t>machineleesbaar vastleggen dat een Juridische regel of Tekstdeel en de bijbehorende Locatie(s) gaan over een gebied waar regels of beleid gelden voor het aspect erfgoed;</w:t>
      </w:r>
    </w:p>
    <w:p w14:paraId="337CF23E" w14:textId="3AD15BC0" w:rsidR="00BB2C1D" w:rsidRPr="00D368CB" w:rsidRDefault="00644A93" w:rsidP="00BB2C1D">
      <w:pPr>
        <w:pStyle w:val="Opsommingtekens1"/>
      </w:pPr>
      <w:r w:rsidRPr="00D368CB">
        <w:t>betekenisvol presenteren van de Locaties waar de regels of het beleid over het aspect erfgoed gelden;</w:t>
      </w:r>
    </w:p>
    <w:p w14:paraId="62D3DEE0" w14:textId="2204C642"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