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EFD93" w14:textId="55CD838E" w:rsidR="00BB2C1D" w:rsidRPr="00D368CB" w:rsidRDefault="00644A93" w:rsidP="00BB2C1D">
      <w:pPr>
        <w:pStyle w:val="Kop5"/>
      </w:pPr>
      <w:r w:rsidRPr="00D368CB">
        <w:t>Doel</w:t>
      </w:r>
    </w:p>
    <w:p w14:paraId="483CB295" w14:textId="23962CA3" w:rsidR="00BB2C1D" w:rsidRPr="00D368CB" w:rsidRDefault="00644A93" w:rsidP="00BB2C1D">
      <w:r w:rsidRPr="00D368CB">
        <w:t>Doel van het objecttype Mijnbouw is:</w:t>
      </w:r>
    </w:p>
    <w:p w14:paraId="0094FFAA" w14:textId="5B56A6FF" w:rsidR="00BB2C1D" w:rsidRPr="00D368CB" w:rsidRDefault="00644A93" w:rsidP="00BB2C1D">
      <w:pPr>
        <w:pStyle w:val="Opsommingtekens1"/>
      </w:pPr>
      <w:r w:rsidRPr="00D368CB">
        <w:t>machineleesbaar vastleggen dat een Juridische regel of Tekstdeel en de bijbehorende Locatie(s) gaan over een gebied waar regels of beleid gelden voor het aspect mijnbouw;</w:t>
      </w:r>
    </w:p>
    <w:p w14:paraId="6F20BC60" w14:textId="072547B1" w:rsidR="00BB2C1D" w:rsidRPr="00D368CB" w:rsidRDefault="00644A93" w:rsidP="00BB2C1D">
      <w:pPr>
        <w:pStyle w:val="Opsommingtekens1"/>
      </w:pPr>
      <w:r w:rsidRPr="00D368CB">
        <w:t>betekenisvol presenteren van de Locaties waar de regels of het beleid over het aspect mijnbouw gelden;</w:t>
      </w:r>
    </w:p>
    <w:p w14:paraId="0DB013E3" w14:textId="1D7F3F04" w:rsidR="00BB2C1D" w:rsidRPr="00D368CB" w:rsidRDefault="00644A93" w:rsidP="00BB2C1D">
      <w:pPr>
        <w:pStyle w:val="Opsommingtekens1"/>
      </w:pPr>
      <w:r w:rsidRPr="00D368CB">
        <w:t>kunnen filteren in een viewer of op een kaart.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