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30F3" w14:textId="77777777" w:rsidR="00644F5B" w:rsidRDefault="00644F5B" w:rsidP="00644F5B">
      <w:pPr>
        <w:pStyle w:val="Kop3"/>
      </w:pPr>
      <w:r>
        <w:t>Annoteren wanneer een deel van norm of beleid in een bijlage staat</w:t>
      </w:r>
    </w:p>
    <w:p w14:paraId="0651E3B3" w14:textId="77777777" w:rsidR="00644F5B" w:rsidRDefault="00644F5B" w:rsidP="00644F5B">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0E99029A" w14:textId="77777777" w:rsidR="00644F5B" w:rsidRDefault="00644F5B" w:rsidP="00644F5B">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1F0586BE" w14:textId="77777777" w:rsidR="00644F5B" w:rsidRDefault="00644F5B" w:rsidP="00644F5B"/>
    <w:p w14:paraId="320EF4BA" w14:textId="77777777" w:rsidR="00644F5B" w:rsidRDefault="00644F5B" w:rsidP="00644F5B">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w:t>
      </w:r>
      <w:r>
        <w:lastRenderedPageBreak/>
        <w:t xml:space="preserve">zo’n geval alleen de geometrie en geen waarden (en ook geen verwijzing naar de tekst, die kent alleen de TPOD-standaard). Dit geldt overigens ook wanneer numerieke en kwalitatieve waarden in de tekst van het artikel staan; ook dan moet bij </w:t>
      </w:r>
      <w:r w:rsidRPr="00BB677E">
        <w:t>het annoteren met Omgevingsnorm of Omgevingswaarde gekozen worden voor het normwaarde-attribuut ‘</w:t>
      </w:r>
      <w:r w:rsidRPr="003A01AA">
        <w:rPr>
          <w:i/>
          <w:iCs/>
        </w:rPr>
        <w:t>waardeInRegeltekst</w:t>
      </w:r>
      <w:r w:rsidRPr="00BB677E">
        <w:t>’</w:t>
      </w:r>
      <w:r>
        <w:t>.</w:t>
      </w:r>
    </w:p>
    <w:p w14:paraId="148CC055" w14:textId="02CF44E9" w:rsidR="00644F5B" w:rsidRPr="00D368CB" w:rsidRDefault="00644F5B" w:rsidP="00644F5B">
      <w:r>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