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9E50" w14:textId="3A25E78B" w:rsidR="009B4C3C" w:rsidRDefault="009A3EA0" w:rsidP="009B4C3C">
      <w:pPr>
        <w:pStyle w:val="Kop5"/>
      </w:pPr>
      <w:bookmarkStart w:id="34" w:name="_Ref_4c1fd35e3324a9df48a66a43978c4894_1"/>
      <w:r w:rsidRPr="009A3EA0">
        <w:t xml:space="preserve">Het concept 'tijdelijk regelingdeel' als alternatieve toepassing van het meervoudig bronhouderschap bij </w:t>
      </w:r>
      <w:r w:rsidR="001028F7" w:rsidRPr="001028F7">
        <w:t>de reactieve interventie</w:t>
      </w:r>
      <w:bookmarkEnd w:id="34"/>
    </w:p>
    <w:p w14:paraId="65C6C6AB" w14:textId="48A0FBC2" w:rsidR="00B36ACA" w:rsidRDefault="0025715C" w:rsidP="001028F7">
      <w:r>
        <w:t>In het besluitdeel van de reactieve interventie wordt</w:t>
      </w:r>
      <w:r w:rsidR="00164D16">
        <w:t xml:space="preserve"> </w:t>
      </w:r>
      <w:r w:rsidR="00486B1E">
        <w:t>een</w:t>
      </w:r>
      <w:r w:rsidR="000D259A" w:rsidRPr="000D259A">
        <w:t xml:space="preserve"> omschrijving </w:t>
      </w:r>
      <w:r w:rsidR="00E74F9A">
        <w:t xml:space="preserve">opgenomen </w:t>
      </w:r>
      <w:r w:rsidR="000D259A" w:rsidRPr="000D259A">
        <w:t xml:space="preserve">van de onderdelen van het </w:t>
      </w:r>
      <w:r w:rsidR="00B172DE">
        <w:t xml:space="preserve">gemeentelijke </w:t>
      </w:r>
      <w:r w:rsidR="005C6B42">
        <w:t>wijzigings</w:t>
      </w:r>
      <w:r w:rsidR="00B172DE">
        <w:t xml:space="preserve">besluit </w:t>
      </w:r>
      <w:r w:rsidR="000D259A" w:rsidRPr="000D259A">
        <w:t>die geen deel uitmaken van het omgevingsplan</w:t>
      </w:r>
      <w:r w:rsidR="00EF1514">
        <w:t>.</w:t>
      </w:r>
      <w:r>
        <w:t xml:space="preserve"> </w:t>
      </w:r>
      <w:r w:rsidR="00296B20">
        <w:t>Het besluitdeel</w:t>
      </w:r>
      <w:r w:rsidR="00162B4B" w:rsidRPr="00162B4B">
        <w:t xml:space="preserve"> </w:t>
      </w:r>
      <w:r w:rsidR="004F39B8">
        <w:t xml:space="preserve">bevat </w:t>
      </w:r>
      <w:r w:rsidR="00296B20">
        <w:t>ook</w:t>
      </w:r>
      <w:r w:rsidR="004F39B8">
        <w:t xml:space="preserve"> de opdracht aan de gemeente om te zorgen voor verwerking van de reactieve interventie in de geconsolideerde </w:t>
      </w:r>
      <w:r w:rsidR="00016504">
        <w:t>(hoofd)</w:t>
      </w:r>
      <w:r w:rsidR="004F39B8">
        <w:t>regeling van het omgevingsplan</w:t>
      </w:r>
      <w:r w:rsidR="00C55AD5">
        <w:t>, met daarbij een termijn waarbinnen deze opdracht moet zijn uitgevoerd</w:t>
      </w:r>
      <w:r w:rsidR="004F39B8">
        <w:t>.</w:t>
      </w:r>
      <w:r w:rsidR="004F39B8" w:rsidRPr="004F39B8">
        <w:t xml:space="preserve"> </w:t>
      </w:r>
      <w:r w:rsidR="00A10731">
        <w:t>Het tweede deel van</w:t>
      </w:r>
      <w:r w:rsidR="000C4132">
        <w:t xml:space="preserve"> de reactieve interventie bevat h</w:t>
      </w:r>
      <w:r w:rsidR="00650BDB" w:rsidRPr="00650BDB">
        <w:t>et tijdelijk regelingdeel</w:t>
      </w:r>
      <w:r w:rsidR="00AB18FC">
        <w:t>. Hierin staa</w:t>
      </w:r>
      <w:r w:rsidR="00EE31EE">
        <w:t>t</w:t>
      </w:r>
      <w:r w:rsidR="00307434">
        <w:t xml:space="preserve">, na het </w:t>
      </w:r>
      <w:r w:rsidR="00555750">
        <w:t>tekstblok</w:t>
      </w:r>
      <w:r w:rsidR="00307434">
        <w:t xml:space="preserve"> met de conditie van het tijdelijk regelingdeel,</w:t>
      </w:r>
      <w:r w:rsidR="00AB18FC">
        <w:t xml:space="preserve"> </w:t>
      </w:r>
      <w:r w:rsidR="00C62BBA">
        <w:t xml:space="preserve">hoe de </w:t>
      </w:r>
      <w:r w:rsidR="00C7375E">
        <w:t>regels</w:t>
      </w:r>
      <w:r w:rsidR="00A53583">
        <w:t xml:space="preserve"> </w:t>
      </w:r>
      <w:r w:rsidR="0012666E">
        <w:t xml:space="preserve">van (de hoofdregeling van) het omgevingsplan </w:t>
      </w:r>
      <w:r w:rsidR="004519F2">
        <w:t xml:space="preserve">luiden na </w:t>
      </w:r>
      <w:r w:rsidR="00556979">
        <w:t>inwerkingtreden van de reactieve interventie</w:t>
      </w:r>
      <w:r w:rsidR="003F314A" w:rsidRPr="003F314A">
        <w:t>.</w:t>
      </w:r>
      <w:r w:rsidR="003F314A">
        <w:t xml:space="preserve"> </w:t>
      </w:r>
      <w:r w:rsidR="00D62572">
        <w:t xml:space="preserve">Waar nodig bevat het tijdelijk regelingdeel geografische </w:t>
      </w:r>
      <w:r w:rsidR="00D56EAF">
        <w:t>informatieobjecten. D</w:t>
      </w:r>
      <w:r w:rsidR="0037130E">
        <w:t xml:space="preserve">aarmee kan bijvoorbeeld </w:t>
      </w:r>
      <w:r w:rsidR="00AD2484">
        <w:t xml:space="preserve">het deel van de Locaties </w:t>
      </w:r>
      <w:r w:rsidR="0037130E">
        <w:t xml:space="preserve">worden aangegeven </w:t>
      </w:r>
      <w:r w:rsidR="00AD2484">
        <w:t>waar</w:t>
      </w:r>
      <w:r w:rsidR="001769FF">
        <w:t xml:space="preserve"> een bepaalde regel uit het wijzigingsbesluit niet geldt.</w:t>
      </w:r>
      <w:r w:rsidR="00FA65CF">
        <w:t xml:space="preserve"> </w:t>
      </w:r>
      <w:r w:rsidR="001769FF">
        <w:t xml:space="preserve">Het </w:t>
      </w:r>
      <w:r w:rsidR="00D56EAF">
        <w:t xml:space="preserve">zijn </w:t>
      </w:r>
      <w:r w:rsidR="00D56EAF" w:rsidRPr="00D56EAF">
        <w:t>geografische informatieobjecten</w:t>
      </w:r>
      <w:r w:rsidR="00D56EAF">
        <w:t xml:space="preserve"> die horen </w:t>
      </w:r>
      <w:r w:rsidR="005D7286">
        <w:t xml:space="preserve">bij </w:t>
      </w:r>
      <w:r w:rsidR="002D43EA">
        <w:t xml:space="preserve">het tijdelijk </w:t>
      </w:r>
      <w:r w:rsidR="002D43EA">
        <w:lastRenderedPageBreak/>
        <w:t xml:space="preserve">regelingdeel; ze zijn niet bedoeld om door de gemeente </w:t>
      </w:r>
      <w:r w:rsidR="00B32992">
        <w:t xml:space="preserve">te worden overgenomen </w:t>
      </w:r>
      <w:r w:rsidR="002D43EA">
        <w:t>in de verwerking van de reactieve interventie</w:t>
      </w:r>
      <w:r w:rsidR="00B32992">
        <w:t>.</w:t>
      </w:r>
    </w:p>
    <w:p w14:paraId="3A006139" w14:textId="15C086D5" w:rsidR="00525B07" w:rsidRDefault="00BA0846" w:rsidP="00525B07">
      <w:pPr>
        <w:pStyle w:val="Figuur"/>
      </w:pPr>
      <w:r>
        <w:rPr>
          <w:noProof/>
        </w:rPr>
        <w:drawing>
          <wp:inline distT="0" distB="0" distL="0" distR="0" wp14:anchorId="324FA162" wp14:editId="2AD79897">
            <wp:extent cx="5419726" cy="402348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20">
                      <a:extLst>
                        <a:ext uri="{28A0092B-C50C-407E-A947-70E740481C1C}">
                          <a14:useLocalDpi xmlns:a14="http://schemas.microsoft.com/office/drawing/2010/main" val="0"/>
                        </a:ext>
                      </a:extLst>
                    </a:blip>
                    <a:stretch>
                      <a:fillRect/>
                    </a:stretch>
                  </pic:blipFill>
                  <pic:spPr>
                    <a:xfrm>
                      <a:off x="0" y="0"/>
                      <a:ext cx="5419726" cy="4023488"/>
                    </a:xfrm>
                    <a:prstGeom prst="rect">
                      <a:avLst/>
                    </a:prstGeom>
                  </pic:spPr>
                </pic:pic>
              </a:graphicData>
            </a:graphic>
          </wp:inline>
        </w:drawing>
      </w:r>
    </w:p>
    <w:p w14:paraId="2C552C10" w14:textId="1CF28A30" w:rsidR="00480C93" w:rsidRDefault="00480C93" w:rsidP="00480C93">
      <w:pPr>
        <w:pStyle w:val="Figuurbijschrift"/>
      </w:pPr>
      <w:bookmarkStart w:id="36" w:name="_Ref_4c1fd35e3324a9df48a66a43978c4894_2"/>
      <w:r>
        <w:t xml:space="preserve">Voorbeeld </w:t>
      </w:r>
      <w:r w:rsidR="00524FD9">
        <w:t>tijdelijk regelingdeel bij de reactieve interventie</w:t>
      </w:r>
      <w:bookmarkEnd w:id="36"/>
    </w:p>
    <w:p w14:paraId="1FAC136E" w14:textId="3D2589C2" w:rsidR="00C4089D" w:rsidRDefault="00C4089D" w:rsidP="00C4089D">
      <w:r>
        <w:t xml:space="preserve">In </w:t>
      </w:r>
      <w:r w:rsidR="009F1CCE">
        <w:t xml:space="preserve">het voorbeeld van </w:t>
      </w:r>
      <w:r w:rsidRPr="00B36ACA">
        <w:rPr>
          <w:rStyle w:val="Verwijzing"/>
        </w:rPr>
        <w:fldChar w:fldCharType="begin"/>
      </w:r>
      <w:r w:rsidRPr="00B36ACA">
        <w:rPr>
          <w:rStyle w:val="Verwijzing"/>
        </w:rPr>
        <w:instrText xml:space="preserve"> REF _Ref_4c1fd35e3324a9df48a66a43978c4894_2</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2</w:t>
      </w:r>
      <w:r w:rsidRPr="00B36ACA">
        <w:rPr>
          <w:rStyle w:val="Verwijzing"/>
        </w:rPr>
        <w:fldChar w:fldCharType="end"/>
      </w:r>
      <w:r w:rsidR="009F1CCE">
        <w:t xml:space="preserve"> wordt getoond hoe het tijdelijk regelingdeel van een reactieve interventie er uit kan zien. </w:t>
      </w:r>
      <w:r w:rsidR="008D6320">
        <w:t xml:space="preserve">Het onderdeel Voorrangsbepaling bevat de conditie. </w:t>
      </w:r>
      <w:r w:rsidR="00A07A98">
        <w:t xml:space="preserve">In artikel </w:t>
      </w:r>
      <w:r w:rsidR="004A6428">
        <w:t xml:space="preserve">1.3 </w:t>
      </w:r>
      <w:r w:rsidR="00DB700B">
        <w:t xml:space="preserve">van het voorbeeld </w:t>
      </w:r>
      <w:r w:rsidR="004A6428">
        <w:t>is te zien dat de rea</w:t>
      </w:r>
      <w:r w:rsidR="002C2DF5">
        <w:t xml:space="preserve">ctieve interventie een deel van het werkingsgebied van een artikel schrapt. </w:t>
      </w:r>
      <w:r w:rsidR="0066269F">
        <w:t>Het gedeelte dat daardoor geen deel uitmaakt van het omgevingsplan is vastgelegd in het geografisch informatieobject</w:t>
      </w:r>
      <w:r w:rsidR="00803CA6">
        <w:t xml:space="preserve"> waarvan naam en identificatie in de bijlage zijn opgenomen.</w:t>
      </w:r>
    </w:p>
    <w:p w14:paraId="095F9A53" w14:textId="77777777" w:rsidR="00803CA6" w:rsidRPr="00C4089D" w:rsidRDefault="00803CA6" w:rsidP="00C4089D"/>
    <w:p w14:paraId="56E85BD7" w14:textId="480C944E" w:rsidR="00C07F84" w:rsidRDefault="00622D6D" w:rsidP="001028F7">
      <w:r>
        <w:t xml:space="preserve">Het gebruik van het concept tijdelijk regelingdeel bij de reactieve interventie </w:t>
      </w:r>
      <w:r w:rsidR="00E405D1">
        <w:t xml:space="preserve">is vooral bedoeld om de raadpleger van de geconsolideerde regeling </w:t>
      </w:r>
      <w:r w:rsidR="00E61458">
        <w:t xml:space="preserve">van het omgevingsplan </w:t>
      </w:r>
      <w:r w:rsidR="00E405D1">
        <w:t xml:space="preserve">op </w:t>
      </w:r>
      <w:r w:rsidR="00C97702">
        <w:t>overheid.nl</w:t>
      </w:r>
      <w:r w:rsidR="00E405D1">
        <w:t xml:space="preserve"> en in DSO-LV er op te attenderen dat </w:t>
      </w:r>
      <w:r w:rsidR="00B60FEC">
        <w:t>de hoofdregeling</w:t>
      </w:r>
      <w:r w:rsidR="006F473D">
        <w:t xml:space="preserve"> </w:t>
      </w:r>
      <w:r w:rsidR="00605D9D">
        <w:t xml:space="preserve">van het omgevingsplan niet </w:t>
      </w:r>
      <w:r w:rsidR="006C1416">
        <w:t xml:space="preserve">de </w:t>
      </w:r>
      <w:r w:rsidR="00C1323A">
        <w:t>volledig</w:t>
      </w:r>
      <w:r w:rsidR="001F4576">
        <w:t>e</w:t>
      </w:r>
      <w:r w:rsidR="00C1323A">
        <w:t xml:space="preserve"> </w:t>
      </w:r>
      <w:r w:rsidR="005121E4">
        <w:t>gelden</w:t>
      </w:r>
      <w:r w:rsidR="00605D9D">
        <w:t xml:space="preserve">de </w:t>
      </w:r>
      <w:r w:rsidR="00C1323A">
        <w:t xml:space="preserve">juridische </w:t>
      </w:r>
      <w:r w:rsidR="004A5051">
        <w:t>situatie</w:t>
      </w:r>
      <w:r w:rsidR="00C1323A">
        <w:t xml:space="preserve"> weergeeft </w:t>
      </w:r>
      <w:r w:rsidR="00E405D1">
        <w:t>e</w:t>
      </w:r>
      <w:r w:rsidR="00C1323A">
        <w:t>n</w:t>
      </w:r>
      <w:r w:rsidR="00E405D1">
        <w:t xml:space="preserve"> </w:t>
      </w:r>
      <w:r w:rsidR="00C1323A">
        <w:t xml:space="preserve">dat er </w:t>
      </w:r>
      <w:r w:rsidR="00E405D1">
        <w:t>een rea</w:t>
      </w:r>
      <w:r w:rsidR="00C1323A">
        <w:t>ctieve interventie is gegeven die nog moet worden verwerkt in de hoofdregeling.</w:t>
      </w:r>
      <w:r w:rsidR="00E252EE">
        <w:t xml:space="preserve"> Het tijdelijk regelingdeel </w:t>
      </w:r>
      <w:r w:rsidR="00F77AE6">
        <w:t xml:space="preserve">maakt </w:t>
      </w:r>
      <w:r w:rsidR="00E252EE">
        <w:t xml:space="preserve">in het geval van de reactieve interventie heel </w:t>
      </w:r>
      <w:r w:rsidR="00F77AE6">
        <w:t>kort onderdeel uit van de geconsolideerde regeling van het omgevingsplan; nadat de gemeente heeft gezorgd voor verwerking van de reactieve interventie in het omgevingsplan kan het tijdelijk regelingdeel vervallen.</w:t>
      </w:r>
      <w:r w:rsidR="008C42E9">
        <w:t xml:space="preserve"> </w:t>
      </w:r>
      <w:r w:rsidR="001E18E1">
        <w:t xml:space="preserve">Zoals in de vorige paragraaf is beschreven, begint </w:t>
      </w:r>
      <w:r w:rsidR="0082338D">
        <w:t xml:space="preserve">ieder tijdelijk deel met </w:t>
      </w:r>
      <w:r w:rsidR="00662321" w:rsidRPr="00662321">
        <w:t>een tekstblok met daarin de condities van het tijdelijk deel</w:t>
      </w:r>
      <w:r w:rsidR="006D313C">
        <w:t>.</w:t>
      </w:r>
    </w:p>
    <w:p w14:paraId="181D8C42" w14:textId="21E802E0" w:rsidR="001028F7" w:rsidRDefault="00EF43A8" w:rsidP="001028F7">
      <w:r>
        <w:t xml:space="preserve">De </w:t>
      </w:r>
      <w:r w:rsidR="00BB1368">
        <w:t xml:space="preserve">toepassing </w:t>
      </w:r>
      <w:r>
        <w:t xml:space="preserve">van </w:t>
      </w:r>
      <w:r w:rsidR="006904BA" w:rsidRPr="006904BA">
        <w:t xml:space="preserve">het concept tijdelijk regelingdeel </w:t>
      </w:r>
      <w:r w:rsidR="009C3969">
        <w:t xml:space="preserve">op </w:t>
      </w:r>
      <w:r w:rsidR="00B74BE3">
        <w:t xml:space="preserve">de </w:t>
      </w:r>
      <w:r w:rsidR="00B74BE3" w:rsidRPr="00B74BE3">
        <w:t>reactieve interventie</w:t>
      </w:r>
      <w:r w:rsidR="000F7D34">
        <w:t xml:space="preserve">, </w:t>
      </w:r>
      <w:r w:rsidR="00172917">
        <w:t>gerelateerd aan</w:t>
      </w:r>
      <w:r w:rsidR="00DF2039">
        <w:t xml:space="preserve"> de procedure</w:t>
      </w:r>
      <w:r w:rsidR="00947870">
        <w:t xml:space="preserve"> die bij </w:t>
      </w:r>
      <w:r w:rsidR="00B74BE3">
        <w:t xml:space="preserve">de </w:t>
      </w:r>
      <w:r w:rsidR="00B74BE3" w:rsidRPr="00B74BE3">
        <w:t xml:space="preserve">reactieve interventie </w:t>
      </w:r>
      <w:r w:rsidR="00947870">
        <w:t>wordt doorlopen</w:t>
      </w:r>
      <w:r w:rsidR="00AE4788">
        <w:t>,</w:t>
      </w:r>
      <w:r w:rsidR="009C3969">
        <w:t xml:space="preserve"> </w:t>
      </w:r>
      <w:r w:rsidR="00AE4788">
        <w:t xml:space="preserve">is </w:t>
      </w:r>
      <w:r>
        <w:t xml:space="preserve">in </w:t>
      </w:r>
      <w:r w:rsidR="00B31866" w:rsidRPr="00B36ACA">
        <w:rPr>
          <w:rStyle w:val="Verwijzing"/>
        </w:rPr>
        <w:fldChar w:fldCharType="begin"/>
      </w:r>
      <w:r w:rsidR="00B31866" w:rsidRPr="00B36ACA">
        <w:rPr>
          <w:rStyle w:val="Verwijzing"/>
        </w:rPr>
        <w:instrText xml:space="preserve"> REF _Ref_4c1fd35e3324a9df48a66a43978c4894_3</w:instrText>
      </w:r>
      <w:r w:rsidR="001A327F" w:rsidRPr="00B36ACA">
        <w:rPr>
          <w:rStyle w:val="Verwijzing"/>
        </w:rPr>
        <w:instrText>\n \h</w:instrText>
      </w:r>
      <w:r w:rsidR="00B31866" w:rsidRPr="00B36ACA">
        <w:rPr>
          <w:rStyle w:val="Verwijzing"/>
        </w:rPr>
        <w:instrText xml:space="preserve"> </w:instrText>
      </w:r>
      <w:r w:rsidR="00B31866" w:rsidRPr="00B36ACA">
        <w:rPr>
          <w:rStyle w:val="Verwijzing"/>
        </w:rPr>
      </w:r>
      <w:r w:rsidR="00B31866" w:rsidRPr="00B36ACA">
        <w:rPr>
          <w:rStyle w:val="Verwijzing"/>
        </w:rPr>
        <w:fldChar w:fldCharType="separate"/>
      </w:r>
      <w:r w:rsidR="003E5406" w:rsidRPr="00B36ACA">
        <w:rPr>
          <w:rStyle w:val="Verwijzing"/>
        </w:rPr>
        <w:t>Figuur 3</w:t>
      </w:r>
      <w:r w:rsidR="00B31866" w:rsidRPr="00B36ACA">
        <w:rPr>
          <w:rStyle w:val="Verwijzing"/>
        </w:rPr>
        <w:fldChar w:fldCharType="end"/>
      </w:r>
      <w:r w:rsidR="00B31866">
        <w:t xml:space="preserve"> </w:t>
      </w:r>
      <w:r w:rsidR="003731A2">
        <w:t>g</w:t>
      </w:r>
      <w:r w:rsidR="0060454B">
        <w:t>evisualiseerd</w:t>
      </w:r>
      <w:r w:rsidR="00AE4788">
        <w:t xml:space="preserve"> en daarna </w:t>
      </w:r>
      <w:r w:rsidR="00E95269">
        <w:t>beschreven</w:t>
      </w:r>
      <w:r w:rsidR="0060454B">
        <w:t>.</w:t>
      </w:r>
    </w:p>
    <w:p w14:paraId="71B65883" w14:textId="1A90C703" w:rsidR="00CF2546" w:rsidRPr="00CF2546" w:rsidRDefault="00BE2F90" w:rsidP="00CF2546">
      <w:pPr>
        <w:pStyle w:val="Figuur"/>
      </w:pPr>
      <w:r>
        <w:rPr>
          <w:noProof/>
        </w:rPr>
        <w:lastRenderedPageBreak/>
        <w:drawing>
          <wp:inline distT="0" distB="0" distL="0" distR="0" wp14:anchorId="3F2F7384" wp14:editId="50FA92A1">
            <wp:extent cx="5400040" cy="4867274"/>
            <wp:effectExtent l="0" t="0" r="0" b="9525"/>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1">
                      <a:extLst>
                        <a:ext uri="{28A0092B-C50C-407E-A947-70E740481C1C}">
                          <a14:useLocalDpi xmlns:a14="http://schemas.microsoft.com/office/drawing/2010/main" val="0"/>
                        </a:ext>
                      </a:extLst>
                    </a:blip>
                    <a:stretch>
                      <a:fillRect/>
                    </a:stretch>
                  </pic:blipFill>
                  <pic:spPr>
                    <a:xfrm>
                      <a:off x="0" y="0"/>
                      <a:ext cx="5400040" cy="4867274"/>
                    </a:xfrm>
                    <a:prstGeom prst="rect">
                      <a:avLst/>
                    </a:prstGeom>
                  </pic:spPr>
                </pic:pic>
              </a:graphicData>
            </a:graphic>
          </wp:inline>
        </w:drawing>
      </w:r>
    </w:p>
    <w:p w14:paraId="64F2C234" w14:textId="565272A0" w:rsidR="001D47B3" w:rsidRDefault="00002CC0" w:rsidP="001D47B3">
      <w:pPr>
        <w:pStyle w:val="Figuurbijschrift"/>
      </w:pPr>
      <w:bookmarkStart w:id="37" w:name="_Ref_4c1fd35e3324a9df48a66a43978c4894_3"/>
      <w:r>
        <w:t xml:space="preserve">Reactieve interventie: toepassing tijdelijk deel </w:t>
      </w:r>
      <w:r w:rsidR="000A5ECB">
        <w:t xml:space="preserve">van een regeling </w:t>
      </w:r>
      <w:r>
        <w:t>in relatie tot proces</w:t>
      </w:r>
      <w:bookmarkEnd w:id="37"/>
    </w:p>
    <w:p w14:paraId="00D7C490" w14:textId="62E72F52" w:rsidR="00B36ACA" w:rsidRDefault="004846FA" w:rsidP="004846FA">
      <w:r>
        <w:t xml:space="preserve">Een bestuursorgaan van de gemeente neemt een besluit tot wijziging van het omgevingsplan. Dit wijzigingsbesluit wordt bekendgemaakt en geconsolideerd met de bestaande hoofdregeling. Het wijzigingsbesluit leidt dus tot een nieuwe versie van de hoofdregeling </w:t>
      </w:r>
      <w:r w:rsidR="00C115FB">
        <w:t xml:space="preserve">die </w:t>
      </w:r>
      <w:r>
        <w:t xml:space="preserve">op </w:t>
      </w:r>
      <w:r w:rsidR="00C97702">
        <w:t>overheid.nl</w:t>
      </w:r>
      <w:r>
        <w:t xml:space="preserve"> en in DSO-LV te raadplegen is. GS besluiten tot een </w:t>
      </w:r>
      <w:r w:rsidR="00B74BE3" w:rsidRPr="00B74BE3">
        <w:t>reactieve interventie</w:t>
      </w:r>
      <w:r w:rsidR="0001396F">
        <w:t>, die zij aan de LVBB aanleveren</w:t>
      </w:r>
      <w:r>
        <w:t xml:space="preserve">. </w:t>
      </w:r>
      <w:r w:rsidR="0001396F">
        <w:t xml:space="preserve">De reactieve interventie bevat </w:t>
      </w:r>
      <w:r w:rsidR="00962834">
        <w:t xml:space="preserve">een </w:t>
      </w:r>
      <w:r w:rsidR="00E3449B">
        <w:t xml:space="preserve">besluitdeel met daarin een </w:t>
      </w:r>
      <w:r w:rsidR="00F65F03" w:rsidRPr="00F65F03">
        <w:t>beschrijving van de onderdelen van het besluit tot vaststelling of wijziging van het omgevingsplan die daar geen deel van uitmaken</w:t>
      </w:r>
      <w:r w:rsidR="00E3449B">
        <w:t xml:space="preserve"> en</w:t>
      </w:r>
      <w:r w:rsidR="00F65F03">
        <w:t xml:space="preserve"> de</w:t>
      </w:r>
      <w:r w:rsidR="00F65F03" w:rsidRPr="00F65F03">
        <w:t xml:space="preserve"> </w:t>
      </w:r>
      <w:r w:rsidR="00962834">
        <w:t xml:space="preserve">opdracht aan de gemeente om de reactieve interventie in het omgevingsplan te verwerken, </w:t>
      </w:r>
      <w:r w:rsidR="00D20AAC">
        <w:t xml:space="preserve">en het tijdelijk regelingdeel dat bestaat uit </w:t>
      </w:r>
      <w:r w:rsidR="00962834">
        <w:t xml:space="preserve">een tekstblok met </w:t>
      </w:r>
      <w:r w:rsidR="00AF73C0">
        <w:t>de c</w:t>
      </w:r>
      <w:r w:rsidR="00962834">
        <w:t xml:space="preserve">onditie en de </w:t>
      </w:r>
      <w:r w:rsidR="00F65F03">
        <w:t xml:space="preserve">regels </w:t>
      </w:r>
      <w:r w:rsidR="00EB4360">
        <w:t xml:space="preserve">van het omgevingsplan </w:t>
      </w:r>
      <w:r w:rsidR="001F7BB2" w:rsidRPr="001F7BB2">
        <w:t xml:space="preserve">zoals ze gelden na inwerkingtreden van de reactieve interventie </w:t>
      </w:r>
      <w:r w:rsidR="00F65F03">
        <w:t xml:space="preserve">en </w:t>
      </w:r>
      <w:r w:rsidR="001A6292">
        <w:t xml:space="preserve">eventueel ook </w:t>
      </w:r>
      <w:r w:rsidR="00F65F03">
        <w:t xml:space="preserve">geografische informatieobjecten </w:t>
      </w:r>
      <w:r w:rsidR="001A6292">
        <w:t>die horen bij de reactieve interventie</w:t>
      </w:r>
      <w:r w:rsidR="00962834">
        <w:t xml:space="preserve">. </w:t>
      </w:r>
      <w:r>
        <w:t xml:space="preserve">De </w:t>
      </w:r>
      <w:r w:rsidR="00B74BE3" w:rsidRPr="00B74BE3">
        <w:t xml:space="preserve">reactieve interventie </w:t>
      </w:r>
      <w:r>
        <w:t xml:space="preserve">wordt bekendgemaakt. De </w:t>
      </w:r>
      <w:r w:rsidR="00B74BE3" w:rsidRPr="00B74BE3">
        <w:t xml:space="preserve">reactieve interventie </w:t>
      </w:r>
      <w:r>
        <w:t xml:space="preserve">wordt niet </w:t>
      </w:r>
      <w:r w:rsidR="00940C86">
        <w:t xml:space="preserve">in technische zin </w:t>
      </w:r>
      <w:r>
        <w:t xml:space="preserve">geconsolideerd </w:t>
      </w:r>
      <w:r w:rsidR="00A47A48">
        <w:t>in</w:t>
      </w:r>
      <w:r>
        <w:t xml:space="preserve"> de hoofdregeling</w:t>
      </w:r>
      <w:r w:rsidR="007D0FB9">
        <w:t>.</w:t>
      </w:r>
      <w:r w:rsidR="00C05DDD">
        <w:t xml:space="preserve"> </w:t>
      </w:r>
      <w:r w:rsidR="007D0FB9">
        <w:t xml:space="preserve">De reactieve interventie </w:t>
      </w:r>
      <w:r>
        <w:t xml:space="preserve">leidt dus niet tot een nieuwe versie van de hoofdregeling; de </w:t>
      </w:r>
      <w:r w:rsidR="00076093">
        <w:t xml:space="preserve">al aanwezige </w:t>
      </w:r>
      <w:r>
        <w:t xml:space="preserve">hoofdregeling </w:t>
      </w:r>
      <w:r w:rsidR="00C70A17">
        <w:t xml:space="preserve">in de regelingenbank </w:t>
      </w:r>
      <w:r>
        <w:t xml:space="preserve">op </w:t>
      </w:r>
      <w:r w:rsidR="00C97702">
        <w:t>overheid.nl</w:t>
      </w:r>
      <w:r>
        <w:t xml:space="preserve"> en in DSO-LV, die was ontstaan door het wijzigingsbesluit van de gemeente, blijft ongewijzigd bestaan. </w:t>
      </w:r>
      <w:r w:rsidR="009F4237" w:rsidRPr="009F4237">
        <w:t xml:space="preserve">Door het gebruik van het </w:t>
      </w:r>
      <w:r w:rsidR="00A27010">
        <w:t>STOP-</w:t>
      </w:r>
      <w:r w:rsidR="009F4237" w:rsidRPr="009F4237">
        <w:t>tekstmodel RegelingTijdelijkdeel ontstaat door</w:t>
      </w:r>
      <w:r w:rsidR="009F4237">
        <w:t xml:space="preserve"> de reactieve interventie </w:t>
      </w:r>
      <w:r w:rsidR="006F10CB" w:rsidRPr="006F10CB">
        <w:t xml:space="preserve">een nieuw tijdelijk regelingdeel als onderdeel van de geconsolideerde regeling van </w:t>
      </w:r>
      <w:r w:rsidR="006F10CB">
        <w:t xml:space="preserve">het </w:t>
      </w:r>
      <w:r w:rsidR="006F10CB" w:rsidRPr="006F10CB">
        <w:t>omgevingsplan</w:t>
      </w:r>
      <w:r>
        <w:t xml:space="preserve">. </w:t>
      </w:r>
      <w:r w:rsidR="00900A69">
        <w:t>GS</w:t>
      </w:r>
      <w:r w:rsidR="00D15D0A">
        <w:t xml:space="preserve"> </w:t>
      </w:r>
      <w:r w:rsidR="00D15D0A" w:rsidRPr="00D15D0A">
        <w:t>zorg</w:t>
      </w:r>
      <w:r w:rsidR="00D15D0A">
        <w:t>en</w:t>
      </w:r>
      <w:r w:rsidR="00D15D0A" w:rsidRPr="00D15D0A">
        <w:t xml:space="preserve"> </w:t>
      </w:r>
      <w:r w:rsidR="00147973">
        <w:t xml:space="preserve">er </w:t>
      </w:r>
      <w:r w:rsidR="00D15D0A" w:rsidRPr="00D15D0A">
        <w:t xml:space="preserve">dus </w:t>
      </w:r>
      <w:r w:rsidR="00147973">
        <w:t>voor</w:t>
      </w:r>
      <w:r w:rsidR="00D15D0A" w:rsidRPr="00D15D0A">
        <w:t xml:space="preserve"> dat er </w:t>
      </w:r>
      <w:r w:rsidR="00D15D0A">
        <w:t xml:space="preserve">-heel </w:t>
      </w:r>
      <w:r w:rsidR="00D15D0A">
        <w:lastRenderedPageBreak/>
        <w:t xml:space="preserve">tijdelijk- </w:t>
      </w:r>
      <w:r w:rsidR="00D15D0A" w:rsidRPr="00D15D0A">
        <w:t>een nieuw tijdelijk regelingdeel deel gaat uit maken van de geconsolideerde regeling van het omgevingsplan.</w:t>
      </w:r>
      <w:r w:rsidR="00FF3F32">
        <w:t xml:space="preserve"> </w:t>
      </w:r>
      <w:r>
        <w:t xml:space="preserve">Om te voldoen aan de opdracht in de </w:t>
      </w:r>
      <w:r w:rsidR="00B74BE3" w:rsidRPr="00B74BE3">
        <w:t xml:space="preserve">reactieve interventie </w:t>
      </w:r>
      <w:r w:rsidR="000374B7">
        <w:t xml:space="preserve">moet </w:t>
      </w:r>
      <w:r w:rsidRPr="005A1747">
        <w:t xml:space="preserve">de gemeente </w:t>
      </w:r>
      <w:r w:rsidR="000374B7">
        <w:t xml:space="preserve">de </w:t>
      </w:r>
      <w:r w:rsidR="001F3F89">
        <w:t>wijzigingsinstructies</w:t>
      </w:r>
      <w:r w:rsidR="000374B7">
        <w:t xml:space="preserve"> </w:t>
      </w:r>
      <w:r w:rsidRPr="005A1747">
        <w:t>aan</w:t>
      </w:r>
      <w:r w:rsidR="000374B7">
        <w:t>leveren</w:t>
      </w:r>
      <w:r>
        <w:t xml:space="preserve"> d</w:t>
      </w:r>
      <w:r w:rsidR="006D43B6">
        <w:t>ie</w:t>
      </w:r>
      <w:r>
        <w:t xml:space="preserve"> leid</w:t>
      </w:r>
      <w:r w:rsidR="006D43B6">
        <w:t>en</w:t>
      </w:r>
      <w:r>
        <w:t xml:space="preserve"> tot een nieuwe versie van de hoofdregeling</w:t>
      </w:r>
      <w:r w:rsidR="00711D0B">
        <w:t xml:space="preserve"> </w:t>
      </w:r>
      <w:r>
        <w:t xml:space="preserve">waarin </w:t>
      </w:r>
      <w:r w:rsidR="00B74BE3">
        <w:t xml:space="preserve">de </w:t>
      </w:r>
      <w:r w:rsidR="00B74BE3" w:rsidRPr="00B74BE3">
        <w:t xml:space="preserve">reactieve interventie </w:t>
      </w:r>
      <w:r>
        <w:t xml:space="preserve">van GS is verwerkt. </w:t>
      </w:r>
      <w:r w:rsidR="00B357C4">
        <w:t xml:space="preserve">Samen met </w:t>
      </w:r>
      <w:r w:rsidR="00983627">
        <w:t xml:space="preserve">deze </w:t>
      </w:r>
      <w:r w:rsidR="00C35075" w:rsidRPr="00C35075">
        <w:t xml:space="preserve">wijzigingsinstructies </w:t>
      </w:r>
      <w:r w:rsidR="00286E6D">
        <w:t xml:space="preserve">levert de gemeente ook </w:t>
      </w:r>
      <w:r w:rsidR="005B2BFD" w:rsidRPr="005B2BFD">
        <w:t xml:space="preserve">consolidatie-informatie </w:t>
      </w:r>
      <w:r w:rsidR="00286E6D">
        <w:t xml:space="preserve">aan die leidt tot intrekking </w:t>
      </w:r>
      <w:r w:rsidR="000A5621">
        <w:t xml:space="preserve">en niet meer tonen </w:t>
      </w:r>
      <w:r w:rsidR="00286E6D">
        <w:t xml:space="preserve">van het </w:t>
      </w:r>
      <w:r w:rsidR="0039127E" w:rsidRPr="0039127E">
        <w:t xml:space="preserve">tijdelijk regelingdeel. Hoe dat werkt is beschreven in paragraaf </w:t>
      </w:r>
      <w:r w:rsidR="0039127E" w:rsidRPr="00B36ACA">
        <w:rPr>
          <w:rStyle w:val="Verwijzing"/>
        </w:rPr>
        <w:fldChar w:fldCharType="begin"/>
      </w:r>
      <w:r w:rsidR="0039127E" w:rsidRPr="00B36ACA">
        <w:rPr>
          <w:rStyle w:val="Verwijzing"/>
        </w:rPr>
        <w:instrText xml:space="preserve"> REF _Ref_59d390dcca28999d69ce92217b643864_1</w:instrText>
      </w:r>
      <w:r w:rsidR="001A327F" w:rsidRPr="00B36ACA">
        <w:rPr>
          <w:rStyle w:val="Verwijzing"/>
        </w:rPr>
        <w:instrText>\n \h</w:instrText>
      </w:r>
      <w:r w:rsidR="0039127E" w:rsidRPr="00B36ACA">
        <w:rPr>
          <w:rStyle w:val="Verwijzing"/>
        </w:rPr>
        <w:instrText xml:space="preserve"> </w:instrText>
      </w:r>
      <w:r w:rsidR="0039127E" w:rsidRPr="00B36ACA">
        <w:rPr>
          <w:rStyle w:val="Verwijzing"/>
        </w:rPr>
      </w:r>
      <w:r w:rsidR="0039127E" w:rsidRPr="00B36ACA">
        <w:rPr>
          <w:rStyle w:val="Verwijzing"/>
        </w:rPr>
        <w:fldChar w:fldCharType="separate"/>
      </w:r>
      <w:r w:rsidR="003E5406" w:rsidRPr="00B36ACA">
        <w:rPr>
          <w:rStyle w:val="Verwijzing"/>
        </w:rPr>
        <w:t>2.3.2.5</w:t>
      </w:r>
      <w:r w:rsidR="0039127E" w:rsidRPr="00B36ACA">
        <w:rPr>
          <w:rStyle w:val="Verwijzing"/>
        </w:rPr>
        <w:fldChar w:fldCharType="end"/>
      </w:r>
      <w:r w:rsidR="0039127E" w:rsidRPr="0039127E">
        <w:t>.</w:t>
      </w:r>
    </w:p>
    <w:p w14:paraId="2F935D6A" w14:textId="709C8933" w:rsidR="00B2732C" w:rsidRDefault="00C91344" w:rsidP="004846FA">
      <w:r>
        <w:t xml:space="preserve">Vooralsnog is </w:t>
      </w:r>
      <w:r w:rsidR="00AD3060">
        <w:t xml:space="preserve">het niet mogelijk om </w:t>
      </w:r>
      <w:r w:rsidR="00CB370C" w:rsidRPr="00CB370C">
        <w:t xml:space="preserve">wijzigingsinstructies </w:t>
      </w:r>
      <w:r w:rsidR="009E156B">
        <w:t>v</w:t>
      </w:r>
      <w:r w:rsidR="00CB370C">
        <w:t>oor</w:t>
      </w:r>
      <w:r w:rsidR="009E156B">
        <w:t xml:space="preserve"> een omgevingdocument aan te leveren </w:t>
      </w:r>
      <w:r w:rsidR="000D747E">
        <w:t xml:space="preserve">met </w:t>
      </w:r>
      <w:r>
        <w:t xml:space="preserve">alleen </w:t>
      </w:r>
      <w:r w:rsidR="000D747E">
        <w:t xml:space="preserve">een </w:t>
      </w:r>
      <w:r>
        <w:t xml:space="preserve">mutatiebericht, dus zonder gelijktijdige </w:t>
      </w:r>
      <w:r w:rsidR="003C074F">
        <w:t xml:space="preserve">aanlevering van een besluit. Daarom </w:t>
      </w:r>
      <w:r w:rsidR="00451F7A">
        <w:t>moet de gemeente</w:t>
      </w:r>
      <w:r w:rsidR="00646EFB">
        <w:t xml:space="preserve"> </w:t>
      </w:r>
      <w:r w:rsidR="00646EFB" w:rsidRPr="00646EFB">
        <w:t>voorlopig</w:t>
      </w:r>
      <w:r w:rsidR="00451F7A">
        <w:t xml:space="preserve"> </w:t>
      </w:r>
      <w:r w:rsidR="00DD58BD">
        <w:t xml:space="preserve">de </w:t>
      </w:r>
      <w:r w:rsidR="00DD58BD" w:rsidRPr="00DD58BD">
        <w:t>wijzigingsinstructies</w:t>
      </w:r>
      <w:r w:rsidR="00DD58BD">
        <w:t xml:space="preserve"> met een besluit aanleveren</w:t>
      </w:r>
      <w:r w:rsidR="00F968B3">
        <w:t xml:space="preserve">. In dat ‘besluit’ </w:t>
      </w:r>
      <w:r w:rsidR="00A672E7">
        <w:t>moet worden aangegeven dat het niet een echt besluit betreft, maar een aanlevering</w:t>
      </w:r>
      <w:r w:rsidR="00845330">
        <w:t xml:space="preserve"> ten behoeve van het uitvoeren van de reactieve interventie van gedeputeerde staten.</w:t>
      </w:r>
    </w:p>
    <w:p w14:paraId="37DE9EEA" w14:textId="337932E7" w:rsidR="0034011A" w:rsidRDefault="0034011A" w:rsidP="00124498">
      <w:pPr>
        <w:pStyle w:val="Kader"/>
      </w:pPr>
      <w:r>
        <w:rPr>
          <w:noProof/>
        </w:rPr>
        <mc:AlternateContent>
          <mc:Choice Requires="wps">
            <w:drawing>
              <wp:inline distT="0" distB="0" distL="0" distR="0" wp14:anchorId="4BA29EC2" wp14:editId="016BF66C">
                <wp:extent cx="1828800" cy="1828800"/>
                <wp:effectExtent l="0" t="0" r="22860" b="16510"/>
                <wp:docPr id="31" name="Tekstvak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4F796C" w14:textId="77777777" w:rsidR="0034011A" w:rsidRPr="0034011A" w:rsidRDefault="0034011A" w:rsidP="005A527B">
                            <w:pPr>
                              <w:rPr>
                                <w:b/>
                                <w:bCs/>
                              </w:rPr>
                            </w:pPr>
                            <w:r w:rsidRPr="0034011A">
                              <w:rPr>
                                <w:b/>
                                <w:bCs/>
                              </w:rPr>
                              <w:t>Toekomstige functionaliteit</w:t>
                            </w:r>
                          </w:p>
                          <w:p w14:paraId="59F1FCB9" w14:textId="2B45F1C6" w:rsidR="0034011A" w:rsidRPr="00951D1D" w:rsidRDefault="0034011A" w:rsidP="00951D1D">
                            <w:r>
                              <w:t xml:space="preserve">De gemeente dient de wijzigingsinstructies aan te leveren die zorgen voor een nieuwe Regelingversie van het omgevingsplan waarin de reactieve interventie is verwerkt. </w:t>
                            </w:r>
                            <w:r w:rsidR="0008689F">
                              <w:t xml:space="preserve">Toekomstbeeld is dat </w:t>
                            </w:r>
                            <w:r w:rsidR="00677E50">
                              <w:t xml:space="preserve">de gemeente dat doet </w:t>
                            </w:r>
                            <w:r w:rsidR="005F58DB">
                              <w:t xml:space="preserve">alleen de wijzigingsinstructies </w:t>
                            </w:r>
                            <w:r w:rsidR="00BE50B7">
                              <w:t xml:space="preserve">aan te leveren. </w:t>
                            </w:r>
                            <w:r>
                              <w:t xml:space="preserve">Het aanleveren van wijzigingsinstructies zonder gelijktijdige aanlevering van een besluit is nog niet uitgewerkt in STOP en de LVBB. </w:t>
                            </w:r>
                            <w:r w:rsidR="00F918E5" w:rsidRPr="00F918E5">
                              <w:t xml:space="preserve">Naar verwachting wordt dit toekomstbeeld in de B-release van de STOP/TPOD-standaard opgenomen en vervolgens in de LVBB-DSO-keten geïmplementeerd. </w:t>
                            </w:r>
                            <w:r>
                              <w:t>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BA29EC2" id="_x0000_t202" coordsize="21600,21600" o:spt="202" path="m,l,21600r21600,l21600,xe">
                <v:stroke joinstyle="miter"/>
                <v:path gradientshapeok="t" o:connecttype="rect"/>
              </v:shapetype>
              <v:shape id="Tekstvak 3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Fwsdpw9AgAAegQAAA4AAAAAAAAAAAAA&#10;AAAALgIAAGRycy9lMm9Eb2MueG1sUEsBAi0AFAAGAAgAAAAhALcMAwjXAAAABQEAAA8AAAAAAAAA&#10;AAAAAAAAlwQAAGRycy9kb3ducmV2LnhtbFBLBQYAAAAABAAEAPMAAACbBQAAAAA=&#10;" filled="f" strokeweight=".5pt">
                <v:textbox style="mso-fit-shape-to-text:t">
                  <w:txbxContent>
                    <w:p w14:paraId="4E4F796C" w14:textId="77777777" w:rsidR="0034011A" w:rsidRPr="0034011A" w:rsidRDefault="0034011A" w:rsidP="005A527B">
                      <w:pPr>
                        <w:rPr>
                          <w:b/>
                          <w:bCs/>
                        </w:rPr>
                      </w:pPr>
                      <w:r w:rsidRPr="0034011A">
                        <w:rPr>
                          <w:b/>
                          <w:bCs/>
                        </w:rPr>
                        <w:t>Toekomstige functionaliteit</w:t>
                      </w:r>
                    </w:p>
                    <w:p w14:paraId="59F1FCB9" w14:textId="2B45F1C6" w:rsidR="0034011A" w:rsidRPr="00951D1D" w:rsidRDefault="0034011A" w:rsidP="00951D1D">
                      <w:r>
                        <w:t xml:space="preserve">De gemeente dient de wijzigingsinstructies aan te leveren die zorgen voor een nieuwe Regelingversie van het omgevingsplan waarin de reactieve interventie is verwerkt. </w:t>
                      </w:r>
                      <w:r w:rsidR="0008689F">
                        <w:t xml:space="preserve">Toekomstbeeld is dat </w:t>
                      </w:r>
                      <w:r w:rsidR="00677E50">
                        <w:t xml:space="preserve">de gemeente dat doet </w:t>
                      </w:r>
                      <w:r w:rsidR="005F58DB">
                        <w:t xml:space="preserve">alleen de wijzigingsinstructies </w:t>
                      </w:r>
                      <w:r w:rsidR="00BE50B7">
                        <w:t xml:space="preserve">aan te leveren. </w:t>
                      </w:r>
                      <w:r>
                        <w:t xml:space="preserve">Het aanleveren van wijzigingsinstructies zonder gelijktijdige aanlevering van een besluit is nog niet uitgewerkt in STOP en de LVBB. </w:t>
                      </w:r>
                      <w:r w:rsidR="00F918E5" w:rsidRPr="00F918E5">
                        <w:t xml:space="preserve">Naar verwachting wordt dit toekomstbeeld in de B-release van de STOP/TPOD-standaard opgenomen en vervolgens in de LVBB-DSO-keten geïmplementeerd. </w:t>
                      </w:r>
                      <w:r>
                        <w:t>Wanneer dat gereed is, wordt in dit toepassingsprofiel beschreven hoe dat moet.</w:t>
                      </w:r>
                    </w:p>
                  </w:txbxContent>
                </v:textbox>
                <w10:anchorlock/>
              </v:shape>
            </w:pict>
          </mc:Fallback>
        </mc:AlternateContent>
      </w:r>
    </w:p>
    <w:p w14:paraId="38657327" w14:textId="1F81D629" w:rsidR="00D234B4" w:rsidRDefault="004846FA" w:rsidP="004846FA">
      <w:r>
        <w:t xml:space="preserve">Iedere </w:t>
      </w:r>
      <w:r w:rsidR="00B74BE3" w:rsidRPr="00B74BE3">
        <w:t xml:space="preserve">reactieve interventie </w:t>
      </w:r>
      <w:r w:rsidR="00A43F44">
        <w:t xml:space="preserve">leidt tot </w:t>
      </w:r>
      <w:r w:rsidR="00A356D6" w:rsidRPr="00A356D6">
        <w:t xml:space="preserve">een </w:t>
      </w:r>
      <w:r w:rsidR="0017500A">
        <w:t>a</w:t>
      </w:r>
      <w:r w:rsidR="00F60A54">
        <w:t>f</w:t>
      </w:r>
      <w:r w:rsidR="0017500A">
        <w:t>zonderlijk</w:t>
      </w:r>
      <w:r w:rsidR="00A356D6" w:rsidRPr="00A356D6">
        <w:t xml:space="preserve"> tijdelijk </w:t>
      </w:r>
      <w:r w:rsidR="008F6603">
        <w:t>regeling</w:t>
      </w:r>
      <w:r w:rsidR="00A356D6" w:rsidRPr="00A356D6">
        <w:t>deel</w:t>
      </w:r>
      <w:r w:rsidR="00292243">
        <w:t xml:space="preserve">. Dat is ook het geval als GS </w:t>
      </w:r>
      <w:r>
        <w:t xml:space="preserve">over </w:t>
      </w:r>
      <w:r w:rsidR="005066DA">
        <w:t xml:space="preserve">meerdere besluiten tot wijziging van </w:t>
      </w:r>
      <w:r>
        <w:t xml:space="preserve">hetzelfde omgevingsplan, dus van dezelfde gemeente, </w:t>
      </w:r>
      <w:r w:rsidR="006A63C2" w:rsidRPr="006A63C2">
        <w:t>reactieve interventies geven</w:t>
      </w:r>
      <w:r>
        <w:t>. Datzelfde geldt voor ieder voorbereidingsbesluit</w:t>
      </w:r>
      <w:r w:rsidR="001B6A54">
        <w:t xml:space="preserve">: </w:t>
      </w:r>
      <w:r w:rsidR="00DA34E2">
        <w:t xml:space="preserve">per voorbereidingsbesluit worden </w:t>
      </w:r>
      <w:r w:rsidR="001B6A54">
        <w:t xml:space="preserve">de </w:t>
      </w:r>
      <w:r w:rsidR="00D56ECE">
        <w:t xml:space="preserve">daarbij behorende </w:t>
      </w:r>
      <w:r w:rsidR="001B6A54">
        <w:t xml:space="preserve">voorbeschermingsregels </w:t>
      </w:r>
      <w:r w:rsidR="00DA34E2">
        <w:t xml:space="preserve">in een </w:t>
      </w:r>
      <w:r w:rsidR="00D56ECE">
        <w:t>afzonderlijk tijdelijk deel geplaatst</w:t>
      </w:r>
      <w:r>
        <w:t xml:space="preserve">. </w:t>
      </w:r>
      <w:r w:rsidR="0098370F" w:rsidRPr="0098370F">
        <w:t xml:space="preserve">Het is dus niet zo dat er per gemeente één tijdelijk regelingdeel is waarin de </w:t>
      </w:r>
      <w:r w:rsidR="0098370F">
        <w:t>reacti</w:t>
      </w:r>
      <w:r w:rsidR="00072937">
        <w:t>e</w:t>
      </w:r>
      <w:r w:rsidR="0098370F">
        <w:t xml:space="preserve">ve interventies en de </w:t>
      </w:r>
      <w:r w:rsidR="0098370F" w:rsidRPr="0098370F">
        <w:t>voorbeschermingsregels van alle genomen voorbereidingsbesluiten worden opgenomen</w:t>
      </w:r>
      <w:r w:rsidR="00E16A1E">
        <w:t xml:space="preserve">, of </w:t>
      </w:r>
      <w:r w:rsidR="001D640B" w:rsidRPr="001D640B">
        <w:t>één tijdelijk regelingdeel</w:t>
      </w:r>
      <w:r w:rsidR="001D640B">
        <w:t xml:space="preserve"> voor alle reactieve interventies en </w:t>
      </w:r>
      <w:r w:rsidR="001D640B" w:rsidRPr="001D640B">
        <w:t>één tijdelijk regelingdeel</w:t>
      </w:r>
      <w:r w:rsidR="001D640B">
        <w:t xml:space="preserve"> voor </w:t>
      </w:r>
      <w:r w:rsidR="001D640B" w:rsidRPr="001D640B">
        <w:t>de voorbeschermingsregels van alle genomen voorbereidingsbesluiten</w:t>
      </w:r>
      <w:r w:rsidR="0098370F" w:rsidRPr="0098370F">
        <w:t>.</w:t>
      </w:r>
    </w:p>
    <w:p w14:paraId="682FF848" w14:textId="6F5A078D" w:rsidR="001D47B3" w:rsidRDefault="00A603B5" w:rsidP="004846FA">
      <w:r>
        <w:t>Visueel gemaakt i</w:t>
      </w:r>
      <w:r w:rsidR="004846FA">
        <w:t xml:space="preserve">n een kaartbeeld </w:t>
      </w:r>
      <w:r w:rsidR="00982232" w:rsidRPr="00982232">
        <w:t>zoals dat in bijvoorbeeld DSO-LV te zien kan zijn</w:t>
      </w:r>
      <w:r w:rsidR="00982232">
        <w:t>,</w:t>
      </w:r>
      <w:r w:rsidR="00982232" w:rsidRPr="00982232">
        <w:t xml:space="preserve"> </w:t>
      </w:r>
      <w:r w:rsidR="004846FA">
        <w:t xml:space="preserve">ziet dat er </w:t>
      </w:r>
      <w:r w:rsidR="00DA352A">
        <w:t xml:space="preserve">uit </w:t>
      </w:r>
      <w:r w:rsidR="004846FA">
        <w:t xml:space="preserve">als </w:t>
      </w:r>
      <w:r w:rsidR="00DA352A">
        <w:t xml:space="preserve">weergegeven in </w:t>
      </w:r>
      <w:r w:rsidR="00DA352A" w:rsidRPr="00B36ACA">
        <w:rPr>
          <w:rStyle w:val="Verwijzing"/>
        </w:rPr>
        <w:fldChar w:fldCharType="begin"/>
      </w:r>
      <w:r w:rsidR="00DA352A" w:rsidRPr="00B36ACA">
        <w:rPr>
          <w:rStyle w:val="Verwijzing"/>
        </w:rPr>
        <w:instrText xml:space="preserve"> REF _Ref_4c1fd35e3324a9df48a66a43978c4894_4</w:instrText>
      </w:r>
      <w:r w:rsidR="001A327F" w:rsidRPr="00B36ACA">
        <w:rPr>
          <w:rStyle w:val="Verwijzing"/>
        </w:rPr>
        <w:instrText>\n \h</w:instrText>
      </w:r>
      <w:r w:rsidR="00DA352A" w:rsidRPr="00B36ACA">
        <w:rPr>
          <w:rStyle w:val="Verwijzing"/>
        </w:rPr>
        <w:instrText xml:space="preserve"> </w:instrText>
      </w:r>
      <w:r w:rsidR="00DA352A" w:rsidRPr="00B36ACA">
        <w:rPr>
          <w:rStyle w:val="Verwijzing"/>
        </w:rPr>
      </w:r>
      <w:r w:rsidR="00DA352A" w:rsidRPr="00B36ACA">
        <w:rPr>
          <w:rStyle w:val="Verwijzing"/>
        </w:rPr>
        <w:fldChar w:fldCharType="separate"/>
      </w:r>
      <w:r w:rsidR="003E5406" w:rsidRPr="00B36ACA">
        <w:rPr>
          <w:rStyle w:val="Verwijzing"/>
        </w:rPr>
        <w:t>Figuur 4</w:t>
      </w:r>
      <w:r w:rsidR="00DA352A" w:rsidRPr="00B36ACA">
        <w:rPr>
          <w:rStyle w:val="Verwijzing"/>
        </w:rPr>
        <w:fldChar w:fldCharType="end"/>
      </w:r>
      <w:r w:rsidR="004846FA">
        <w:t>:</w:t>
      </w:r>
    </w:p>
    <w:p w14:paraId="7EFDA5BF" w14:textId="04965B6D" w:rsidR="004846FA" w:rsidRDefault="007B78B3" w:rsidP="004846FA">
      <w:pPr>
        <w:pStyle w:val="Figuur"/>
      </w:pPr>
      <w:r>
        <w:rPr>
          <w:noProof/>
        </w:rPr>
        <w:lastRenderedPageBreak/>
        <w:drawing>
          <wp:inline distT="0" distB="0" distL="0" distR="0" wp14:anchorId="2B788561" wp14:editId="266EC168">
            <wp:extent cx="6105636" cy="3575050"/>
            <wp:effectExtent l="0" t="0" r="9525"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22">
                      <a:extLst>
                        <a:ext uri="{28A0092B-C50C-407E-A947-70E740481C1C}">
                          <a14:useLocalDpi xmlns:a14="http://schemas.microsoft.com/office/drawing/2010/main" val="0"/>
                        </a:ext>
                      </a:extLst>
                    </a:blip>
                    <a:stretch>
                      <a:fillRect/>
                    </a:stretch>
                  </pic:blipFill>
                  <pic:spPr>
                    <a:xfrm>
                      <a:off x="0" y="0"/>
                      <a:ext cx="6105636" cy="3575050"/>
                    </a:xfrm>
                    <a:prstGeom prst="rect">
                      <a:avLst/>
                    </a:prstGeom>
                  </pic:spPr>
                </pic:pic>
              </a:graphicData>
            </a:graphic>
          </wp:inline>
        </w:drawing>
      </w:r>
    </w:p>
    <w:p w14:paraId="20B85BD0" w14:textId="458D4BD4" w:rsidR="007915C1" w:rsidRDefault="008C59D1" w:rsidP="007915C1">
      <w:pPr>
        <w:pStyle w:val="Figuurbijschrift"/>
      </w:pPr>
      <w:bookmarkStart w:id="38" w:name="_Ref_4c1fd35e3324a9df48a66a43978c4894_4"/>
      <w:r>
        <w:t xml:space="preserve">Schematisch </w:t>
      </w:r>
      <w:r w:rsidR="00BB241F">
        <w:t>k</w:t>
      </w:r>
      <w:r w:rsidR="00BF7538">
        <w:t xml:space="preserve">aartbeeld </w:t>
      </w:r>
      <w:r w:rsidR="005E6601">
        <w:t xml:space="preserve">van </w:t>
      </w:r>
      <w:r w:rsidR="002A346A">
        <w:t xml:space="preserve">geconsolideerde regeling </w:t>
      </w:r>
      <w:r w:rsidR="004A3481">
        <w:t xml:space="preserve">omgevingsplan, </w:t>
      </w:r>
      <w:r w:rsidR="002A346A">
        <w:t xml:space="preserve">bestaande uit </w:t>
      </w:r>
      <w:r w:rsidR="00363200">
        <w:t xml:space="preserve">hoofdregeling en </w:t>
      </w:r>
      <w:r w:rsidR="00BF7538">
        <w:t xml:space="preserve">tijdelijk </w:t>
      </w:r>
      <w:bookmarkEnd w:id="38"/>
      <w:r w:rsidR="00417AE2" w:rsidRPr="00417AE2">
        <w:t>regelingdelen</w:t>
      </w:r>
    </w:p>
    <w:p w14:paraId="15243EB2" w14:textId="5A0F4191" w:rsidR="00B36ACA" w:rsidRDefault="00D227CD" w:rsidP="00791E84">
      <w:r w:rsidRPr="00B36ACA">
        <w:rPr>
          <w:rStyle w:val="Verwijzing"/>
        </w:rPr>
        <w:fldChar w:fldCharType="begin"/>
      </w:r>
      <w:r w:rsidRPr="00B36ACA">
        <w:rPr>
          <w:rStyle w:val="Verwijzing"/>
        </w:rPr>
        <w:instrText xml:space="preserve"> REF _Ref_4c1fd35e3324a9df48a66a43978c4894_4</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4</w:t>
      </w:r>
      <w:r w:rsidRPr="00B36ACA">
        <w:rPr>
          <w:rStyle w:val="Verwijzing"/>
        </w:rPr>
        <w:fldChar w:fldCharType="end"/>
      </w:r>
      <w:r>
        <w:t xml:space="preserve"> </w:t>
      </w:r>
      <w:r w:rsidR="00791E84">
        <w:t>kan gezien worden als visualisatie van verschillende mogelijkheden:</w:t>
      </w:r>
    </w:p>
    <w:p w14:paraId="5BFD6266" w14:textId="2A8600D1" w:rsidR="00791E84" w:rsidRPr="008C3909" w:rsidRDefault="00791E84" w:rsidP="00791E84">
      <w:pPr>
        <w:pStyle w:val="Opsommingtekens1"/>
      </w:pPr>
      <w:r w:rsidRPr="008C3909">
        <w:t xml:space="preserve">er zijn drie </w:t>
      </w:r>
      <w:r w:rsidR="00721BEA">
        <w:t>reactieve interventies gegeven</w:t>
      </w:r>
      <w:r w:rsidRPr="008C3909">
        <w:t>, ieder</w:t>
      </w:r>
      <w:r w:rsidR="00721BEA">
        <w:t>e</w:t>
      </w:r>
      <w:r w:rsidRPr="008C3909">
        <w:t xml:space="preserve"> </w:t>
      </w:r>
      <w:r w:rsidR="00721BEA" w:rsidRPr="00721BEA">
        <w:t>reactieve interventie</w:t>
      </w:r>
      <w:r w:rsidRPr="008C3909">
        <w:t xml:space="preserve"> heeft een tijdelijk regelingdeel dat geldt voor een eigen gebied;</w:t>
      </w:r>
    </w:p>
    <w:p w14:paraId="22B4D998" w14:textId="3F3AAB7F" w:rsidR="00791E84" w:rsidRPr="008C3909" w:rsidRDefault="00791E84" w:rsidP="00791E84">
      <w:pPr>
        <w:pStyle w:val="Opsommingtekens1"/>
      </w:pPr>
      <w:r w:rsidRPr="008C3909">
        <w:t xml:space="preserve">er is één </w:t>
      </w:r>
      <w:r w:rsidR="00721BEA" w:rsidRPr="00721BEA">
        <w:t>reactieve interventie</w:t>
      </w:r>
      <w:r w:rsidR="00721BEA">
        <w:t xml:space="preserve"> </w:t>
      </w:r>
      <w:r w:rsidRPr="008C3909">
        <w:t>ge</w:t>
      </w:r>
      <w:r w:rsidR="00721BEA">
        <w:t>gev</w:t>
      </w:r>
      <w:r w:rsidRPr="008C3909">
        <w:t xml:space="preserve">en, </w:t>
      </w:r>
      <w:r w:rsidR="00721BEA">
        <w:t xml:space="preserve">die </w:t>
      </w:r>
      <w:r w:rsidR="00721BEA" w:rsidRPr="00721BEA">
        <w:t>reactieve interventie</w:t>
      </w:r>
      <w:r w:rsidRPr="008C3909">
        <w:t xml:space="preserve"> heeft één tijdelijk regelingdeel dat geldt voor drie gebieden;</w:t>
      </w:r>
    </w:p>
    <w:p w14:paraId="0F0C5D56" w14:textId="0C0B39C8" w:rsidR="00791E84" w:rsidRPr="008C3909" w:rsidRDefault="00791E84" w:rsidP="00791E84">
      <w:pPr>
        <w:pStyle w:val="Opsommingtekens1"/>
      </w:pPr>
      <w:r w:rsidRPr="008C3909">
        <w:t xml:space="preserve">er zijn twee </w:t>
      </w:r>
      <w:r w:rsidR="00681C06" w:rsidRPr="00681C06">
        <w:t>reactieve interventie</w:t>
      </w:r>
      <w:r w:rsidR="00681C06">
        <w:t xml:space="preserve">s </w:t>
      </w:r>
      <w:r w:rsidRPr="008C3909">
        <w:t>ge</w:t>
      </w:r>
      <w:r w:rsidR="00681C06">
        <w:t>gev</w:t>
      </w:r>
      <w:r w:rsidRPr="008C3909">
        <w:t xml:space="preserve">en, </w:t>
      </w:r>
      <w:r w:rsidR="00681C06">
        <w:t>de</w:t>
      </w:r>
      <w:r w:rsidRPr="008C3909">
        <w:t xml:space="preserve"> eerste </w:t>
      </w:r>
      <w:r w:rsidR="00681C06" w:rsidRPr="00681C06">
        <w:t>reactieve interventie</w:t>
      </w:r>
      <w:r w:rsidR="00681C06">
        <w:t xml:space="preserve"> </w:t>
      </w:r>
      <w:r w:rsidRPr="008C3909">
        <w:t xml:space="preserve">heeft een tijdelijk regelingdeel dat geldt voor twee gebieden, </w:t>
      </w:r>
      <w:r w:rsidR="00681C06">
        <w:t>de</w:t>
      </w:r>
      <w:r w:rsidRPr="008C3909">
        <w:t xml:space="preserve"> tweede </w:t>
      </w:r>
      <w:r w:rsidR="00681C06" w:rsidRPr="00681C06">
        <w:t>reactieve interventie</w:t>
      </w:r>
      <w:r w:rsidR="00681C06">
        <w:t xml:space="preserve"> </w:t>
      </w:r>
      <w:r w:rsidRPr="008C3909">
        <w:t>heeft een tijdelijk regelingdeel dat geldt voor één gebied.</w:t>
      </w:r>
    </w:p>
    <w:p w14:paraId="256C0D53" w14:textId="16533D48" w:rsidR="00B36ACA" w:rsidRDefault="00791E84" w:rsidP="00791E84">
      <w:r>
        <w:t>NB1: a</w:t>
      </w:r>
      <w:r w:rsidRPr="00E454E6">
        <w:t xml:space="preserve">angezien ook </w:t>
      </w:r>
      <w:r w:rsidR="00681C06">
        <w:t>het voorbereidingsbesluit</w:t>
      </w:r>
      <w:r w:rsidRPr="00E454E6">
        <w:t xml:space="preserve"> een tijdelijk regelingdeel kent, zijn er ook combinaties van </w:t>
      </w:r>
      <w:r w:rsidR="00681C06" w:rsidRPr="00681C06">
        <w:t>reactieve interventie(s)</w:t>
      </w:r>
      <w:r w:rsidR="00681C06">
        <w:t xml:space="preserve"> en </w:t>
      </w:r>
      <w:r w:rsidRPr="00E454E6">
        <w:t>voorbereidingsbesluit(en) mogelijk.</w:t>
      </w:r>
    </w:p>
    <w:p w14:paraId="1332D1BC" w14:textId="3D47E8EB" w:rsidR="00791E84" w:rsidRDefault="00791E84" w:rsidP="00791E84">
      <w:r>
        <w:t xml:space="preserve">NB2: </w:t>
      </w:r>
      <w:r w:rsidR="00200C04" w:rsidRPr="00200C04">
        <w:t xml:space="preserve">voor tijdelijk regelingdelen die een deel van het grondgebied van een gemeente of provincie betreffen, is het noodzakelijk om in de tekst van </w:t>
      </w:r>
      <w:r w:rsidR="00D87396">
        <w:t xml:space="preserve">het tijdelijk regelingdeel </w:t>
      </w:r>
      <w:r w:rsidR="00200C04" w:rsidRPr="00200C04">
        <w:t>en met behulp van Locaties, IMOW-annotaties en geografische informatieobjecten vast te leggen voor welk gebied ze gelden</w:t>
      </w:r>
      <w:r w:rsidR="004D31DB">
        <w:t>. U</w:t>
      </w:r>
      <w:r w:rsidRPr="008C3909">
        <w:t xml:space="preserve">iteraard is het ook mogelijk dat een </w:t>
      </w:r>
      <w:r w:rsidR="00111FB2" w:rsidRPr="00111FB2">
        <w:t>reactieve interventie</w:t>
      </w:r>
      <w:r w:rsidRPr="008C3909">
        <w:t xml:space="preserve"> (en dus ook een tijdelijk regelingdeel) geldt voor het hele grondgebied van een gemeente of provincie.</w:t>
      </w:r>
    </w:p>
    <w:p w14:paraId="0C9A0C86" w14:textId="77777777" w:rsidR="00D227CD" w:rsidRDefault="00D227CD" w:rsidP="007915C1"/>
    <w:p w14:paraId="693CE432" w14:textId="515066C9" w:rsidR="00314B86" w:rsidRDefault="00783E83" w:rsidP="007915C1">
      <w:r>
        <w:t xml:space="preserve">In </w:t>
      </w:r>
      <w:r w:rsidR="00B74BE3">
        <w:t xml:space="preserve">de </w:t>
      </w:r>
      <w:r w:rsidR="00B74BE3" w:rsidRPr="00B74BE3">
        <w:t xml:space="preserve">reactieve interventie </w:t>
      </w:r>
      <w:r w:rsidR="009F5EEC">
        <w:t>krijgt d</w:t>
      </w:r>
      <w:r w:rsidR="00507769" w:rsidRPr="00244D05">
        <w:t>e gemeente de opdracht</w:t>
      </w:r>
      <w:r w:rsidR="00570C11">
        <w:t xml:space="preserve"> om </w:t>
      </w:r>
      <w:r w:rsidR="00E57245">
        <w:t xml:space="preserve">te zorgen voor verwerking van </w:t>
      </w:r>
      <w:r w:rsidR="00B74BE3">
        <w:t xml:space="preserve">de </w:t>
      </w:r>
      <w:r w:rsidR="00B74BE3" w:rsidRPr="00B74BE3">
        <w:t xml:space="preserve">reactieve interventie </w:t>
      </w:r>
      <w:r w:rsidR="00912D03">
        <w:t xml:space="preserve">in </w:t>
      </w:r>
      <w:r w:rsidR="00AC3966">
        <w:t xml:space="preserve">(de geconsolideerde regeling van) het omgevingsplan. </w:t>
      </w:r>
      <w:r w:rsidR="00495374">
        <w:t xml:space="preserve">Er </w:t>
      </w:r>
      <w:r w:rsidR="001238E7">
        <w:t xml:space="preserve">vindt </w:t>
      </w:r>
      <w:r w:rsidR="00495374">
        <w:t xml:space="preserve">dus </w:t>
      </w:r>
      <w:r w:rsidR="001238E7">
        <w:t>(</w:t>
      </w:r>
      <w:r w:rsidR="00495374">
        <w:t>anders dan bij het voorbereidingsbesluit</w:t>
      </w:r>
      <w:r w:rsidR="00075FDA">
        <w:t>)</w:t>
      </w:r>
      <w:r w:rsidR="00495374">
        <w:t xml:space="preserve"> </w:t>
      </w:r>
      <w:r w:rsidR="00B5335E">
        <w:t xml:space="preserve">daadwerkelijk </w:t>
      </w:r>
      <w:r w:rsidR="00495374">
        <w:t xml:space="preserve">consolidatie </w:t>
      </w:r>
      <w:r w:rsidR="00075FDA">
        <w:t xml:space="preserve">plaats </w:t>
      </w:r>
      <w:r w:rsidR="00495374">
        <w:t xml:space="preserve">van de reactieve interventie in </w:t>
      </w:r>
      <w:r w:rsidR="00527149">
        <w:t xml:space="preserve">de hoofdregeling van </w:t>
      </w:r>
      <w:r w:rsidR="00495374">
        <w:t xml:space="preserve">het omgevingsplan. </w:t>
      </w:r>
      <w:r w:rsidR="00E51826">
        <w:t xml:space="preserve">Niet door toepassing van het technisch meervoudig bronhouderschap, maar via de </w:t>
      </w:r>
      <w:r w:rsidR="001B5A0E">
        <w:t>route</w:t>
      </w:r>
      <w:r w:rsidR="00E51826">
        <w:t xml:space="preserve"> van opdracht aan de gemeente en uitvoering geven aan die opdracht door de gemeente. </w:t>
      </w:r>
      <w:r w:rsidR="00637371">
        <w:t xml:space="preserve">Doordat het tijdelijk regelingdeel </w:t>
      </w:r>
      <w:r w:rsidR="006A5A7B">
        <w:t xml:space="preserve">aangeeft hoe </w:t>
      </w:r>
      <w:r w:rsidR="00637371" w:rsidRPr="00637371">
        <w:t xml:space="preserve">de regels en geografische informatieobjecten </w:t>
      </w:r>
      <w:r w:rsidR="006A5A7B">
        <w:t>luiden</w:t>
      </w:r>
      <w:r w:rsidR="00637371" w:rsidRPr="00637371">
        <w:t xml:space="preserve"> na inwerkingtreden van de reactieve interventie</w:t>
      </w:r>
      <w:r w:rsidR="00637371">
        <w:t xml:space="preserve">, </w:t>
      </w:r>
      <w:r w:rsidR="00140D54">
        <w:t>biedt het</w:t>
      </w:r>
      <w:r w:rsidR="00637371">
        <w:t xml:space="preserve"> ook </w:t>
      </w:r>
      <w:r w:rsidR="00140D54">
        <w:t xml:space="preserve">inzicht </w:t>
      </w:r>
      <w:r w:rsidR="00637371">
        <w:t xml:space="preserve">in </w:t>
      </w:r>
      <w:r w:rsidR="00644C7A">
        <w:t>het geval</w:t>
      </w:r>
      <w:r w:rsidR="00CC6E53">
        <w:t xml:space="preserve"> </w:t>
      </w:r>
      <w:r w:rsidR="00954E78">
        <w:t xml:space="preserve">dat een </w:t>
      </w:r>
      <w:r w:rsidR="00954E78">
        <w:lastRenderedPageBreak/>
        <w:t xml:space="preserve">reactieve interventie het verwijderen van een (onderdeel van) een artikel </w:t>
      </w:r>
      <w:r w:rsidR="00954E78" w:rsidRPr="00B657EA">
        <w:t xml:space="preserve">of een geografisch informatieobject </w:t>
      </w:r>
      <w:r w:rsidR="00954E78">
        <w:t xml:space="preserve">uit het omgevingsplan </w:t>
      </w:r>
      <w:r w:rsidR="002D5539">
        <w:t>ongedaan maakt</w:t>
      </w:r>
      <w:r w:rsidR="00140D54">
        <w:t xml:space="preserve">. </w:t>
      </w:r>
      <w:r w:rsidR="00954E78">
        <w:t xml:space="preserve">Het </w:t>
      </w:r>
      <w:r w:rsidR="00852E7F">
        <w:t>door middel</w:t>
      </w:r>
      <w:r w:rsidR="00954E78">
        <w:t xml:space="preserve"> van het wijzigingsbesluit verwijderen van het betreffende artikel(onderdeel) </w:t>
      </w:r>
      <w:r w:rsidR="00954E78" w:rsidRPr="00306B06">
        <w:t>of geografisch informatieobject</w:t>
      </w:r>
      <w:r w:rsidR="00954E78">
        <w:t xml:space="preserve">, is inmiddels naar aanleiding van het bij dat besluit behorende mutatiebericht van de gemeente verwerkt in de </w:t>
      </w:r>
      <w:r w:rsidR="00536E8A">
        <w:t>hoofd</w:t>
      </w:r>
      <w:r w:rsidR="00954E78">
        <w:t xml:space="preserve">regeling van het omgevingsplan. Het is </w:t>
      </w:r>
      <w:r w:rsidR="00666D45">
        <w:t xml:space="preserve">daar </w:t>
      </w:r>
      <w:r w:rsidR="00954E78">
        <w:t xml:space="preserve">dus niet meer zichtbaar. </w:t>
      </w:r>
      <w:r w:rsidR="001C4D5D">
        <w:t xml:space="preserve">Het tijdelijk regelingdeel </w:t>
      </w:r>
      <w:r w:rsidR="00666D45">
        <w:t xml:space="preserve">dat hoort bij de reactieve interventie </w:t>
      </w:r>
      <w:r w:rsidR="001C4D5D">
        <w:t xml:space="preserve">zorgt er dan voor dat </w:t>
      </w:r>
      <w:r w:rsidR="00704A3B">
        <w:t xml:space="preserve">het betreffende onderdeel in de geconsolideerde </w:t>
      </w:r>
      <w:r w:rsidR="00E17E88">
        <w:t>regeling te vinden is</w:t>
      </w:r>
      <w:r w:rsidR="00954E78">
        <w:t>.</w:t>
      </w:r>
    </w:p>
    <w:p w14:paraId="486F0179" w14:textId="77777777" w:rsidR="00F82A4E" w:rsidRDefault="00F82A4E" w:rsidP="007915C1"/>
    <w:p w14:paraId="090790CA" w14:textId="00B6F7D5" w:rsidR="007915C1" w:rsidRDefault="002E67B3" w:rsidP="007915C1">
      <w:r>
        <w:t>O</w:t>
      </w:r>
      <w:r w:rsidR="005E7DCE">
        <w:t xml:space="preserve">ok al vindt </w:t>
      </w:r>
      <w:r>
        <w:t xml:space="preserve">er </w:t>
      </w:r>
      <w:r w:rsidR="00322CCF">
        <w:t xml:space="preserve">daadwerkelijk </w:t>
      </w:r>
      <w:r>
        <w:t xml:space="preserve">consolidatie </w:t>
      </w:r>
      <w:r w:rsidR="00322CCF">
        <w:t xml:space="preserve">in de hoofdregeling </w:t>
      </w:r>
      <w:r w:rsidR="005E7DCE">
        <w:t xml:space="preserve">plaats, toch </w:t>
      </w:r>
      <w:r w:rsidR="004244F0">
        <w:t>is het wenselijk om ook</w:t>
      </w:r>
      <w:r w:rsidR="006405EC">
        <w:t xml:space="preserve"> bij de reactieve interventie </w:t>
      </w:r>
      <w:r w:rsidR="00313B94" w:rsidRPr="00313B94">
        <w:t xml:space="preserve">het concept </w:t>
      </w:r>
      <w:r w:rsidR="00A36F76">
        <w:t xml:space="preserve">tijdelijk </w:t>
      </w:r>
      <w:r w:rsidR="00322CCF" w:rsidRPr="00322CCF">
        <w:t>regeling</w:t>
      </w:r>
      <w:r w:rsidR="00A36F76">
        <w:t>deel</w:t>
      </w:r>
      <w:r w:rsidR="00313B94" w:rsidRPr="00313B94">
        <w:t xml:space="preserve"> toe te passen.</w:t>
      </w:r>
      <w:r w:rsidR="00313B94">
        <w:t xml:space="preserve"> </w:t>
      </w:r>
      <w:r w:rsidR="00323286">
        <w:t xml:space="preserve">Het is </w:t>
      </w:r>
      <w:r w:rsidR="00313B94">
        <w:t xml:space="preserve">immers </w:t>
      </w:r>
      <w:r w:rsidR="00323286">
        <w:t xml:space="preserve">mogelijk dat </w:t>
      </w:r>
      <w:r w:rsidR="00B100D6">
        <w:t xml:space="preserve">het enige tijd duurt voordat </w:t>
      </w:r>
      <w:r w:rsidR="00323286">
        <w:t xml:space="preserve">een gemeente </w:t>
      </w:r>
      <w:r w:rsidR="00A74701">
        <w:t xml:space="preserve">het mutatiebericht voor verwerking van </w:t>
      </w:r>
      <w:r w:rsidR="00B74BE3">
        <w:t xml:space="preserve">de </w:t>
      </w:r>
      <w:r w:rsidR="00B74BE3" w:rsidRPr="00B74BE3">
        <w:t xml:space="preserve">reactieve interventie </w:t>
      </w:r>
      <w:r w:rsidR="00A74701">
        <w:t xml:space="preserve">in de </w:t>
      </w:r>
      <w:r w:rsidR="00C6408B">
        <w:t>hoofd</w:t>
      </w:r>
      <w:r w:rsidR="009C6D00">
        <w:t>regeling van het omgevingspla</w:t>
      </w:r>
      <w:r w:rsidR="00D3308E">
        <w:t xml:space="preserve">n </w:t>
      </w:r>
      <w:r w:rsidR="004A24AA">
        <w:t>opstel</w:t>
      </w:r>
      <w:r w:rsidR="0032352C">
        <w:t>t</w:t>
      </w:r>
      <w:r w:rsidR="004A24AA">
        <w:t xml:space="preserve"> en aan de LVBB aanbied</w:t>
      </w:r>
      <w:r w:rsidR="0032352C">
        <w:t>t</w:t>
      </w:r>
      <w:r w:rsidR="00FB7F58">
        <w:t>. Daardoor zouden gebruikers</w:t>
      </w:r>
      <w:r w:rsidR="00825013">
        <w:t xml:space="preserve"> van </w:t>
      </w:r>
      <w:r w:rsidR="00C97702">
        <w:t>overheid.nl</w:t>
      </w:r>
      <w:r w:rsidR="00825013">
        <w:t xml:space="preserve"> en DSO-LV bij het raadplegen van de geconsolideerde regeling van het </w:t>
      </w:r>
      <w:r w:rsidR="00B95B0A">
        <w:t xml:space="preserve">omgevingsplan </w:t>
      </w:r>
      <w:r w:rsidR="009908C6">
        <w:t xml:space="preserve">het effect </w:t>
      </w:r>
      <w:r w:rsidR="00FE56D4" w:rsidRPr="00FE56D4">
        <w:t xml:space="preserve">van de reactieve interventie </w:t>
      </w:r>
      <w:r w:rsidR="00B7436B">
        <w:t xml:space="preserve">niet </w:t>
      </w:r>
      <w:r w:rsidR="00FE56D4" w:rsidRPr="00FE56D4">
        <w:t xml:space="preserve">direct na bekendmaking </w:t>
      </w:r>
      <w:r w:rsidR="00704273">
        <w:t>ervan</w:t>
      </w:r>
      <w:r w:rsidR="00FE56D4" w:rsidRPr="00FE56D4">
        <w:t xml:space="preserve"> </w:t>
      </w:r>
      <w:r w:rsidR="00B7436B">
        <w:t xml:space="preserve">zien. </w:t>
      </w:r>
      <w:r w:rsidR="00695004">
        <w:t xml:space="preserve">Dit zou er toe kunnen leiden dat een belanghebbende </w:t>
      </w:r>
      <w:r w:rsidR="00B74BE3">
        <w:t xml:space="preserve">de </w:t>
      </w:r>
      <w:r w:rsidR="00B74BE3" w:rsidRPr="00B74BE3">
        <w:t xml:space="preserve">reactieve interventie </w:t>
      </w:r>
      <w:r w:rsidR="00841130">
        <w:t xml:space="preserve">niet betrekt </w:t>
      </w:r>
      <w:r w:rsidR="00373066">
        <w:t xml:space="preserve">bij de overweging om al dan niet </w:t>
      </w:r>
      <w:r w:rsidR="00695004">
        <w:t>beroep in</w:t>
      </w:r>
      <w:r w:rsidR="00373066">
        <w:t xml:space="preserve"> te </w:t>
      </w:r>
      <w:r w:rsidR="00695004">
        <w:t>stel</w:t>
      </w:r>
      <w:r w:rsidR="00373066">
        <w:t>len</w:t>
      </w:r>
      <w:r w:rsidR="00937803">
        <w:t xml:space="preserve"> of een activiteit te gaan verrichten</w:t>
      </w:r>
      <w:r w:rsidR="007A7D50">
        <w:t xml:space="preserve"> en daarvoor wel of juist niet een omgevingsvergunning aan te vragen</w:t>
      </w:r>
      <w:r w:rsidR="001E6A26">
        <w:t>.</w:t>
      </w:r>
      <w:r w:rsidR="00D4250C">
        <w:t xml:space="preserve"> </w:t>
      </w:r>
      <w:r w:rsidR="00B70149">
        <w:t>Om dat te voorkomen</w:t>
      </w:r>
      <w:r w:rsidR="00D911F5">
        <w:t xml:space="preserve"> is voor </w:t>
      </w:r>
      <w:r w:rsidR="00B74BE3">
        <w:t xml:space="preserve">de </w:t>
      </w:r>
      <w:r w:rsidR="00B74BE3" w:rsidRPr="00B74BE3">
        <w:t xml:space="preserve">reactieve interventie </w:t>
      </w:r>
      <w:r w:rsidR="00D911F5">
        <w:t xml:space="preserve">het </w:t>
      </w:r>
      <w:r w:rsidR="007E5EBA" w:rsidRPr="007E5EBA">
        <w:t xml:space="preserve">concept tijdelijk regelingdeel </w:t>
      </w:r>
      <w:r w:rsidR="00D46FA4" w:rsidRPr="00D46FA4">
        <w:t>ingezet</w:t>
      </w:r>
      <w:r w:rsidR="00D911F5">
        <w:t xml:space="preserve">, als </w:t>
      </w:r>
      <w:r w:rsidR="00C96BFD">
        <w:t>tijdelijk</w:t>
      </w:r>
      <w:r w:rsidR="007E5EBA">
        <w:t>e</w:t>
      </w:r>
      <w:r w:rsidR="00C96BFD">
        <w:t xml:space="preserve"> </w:t>
      </w:r>
      <w:r w:rsidR="00D911F5">
        <w:t>alternatie</w:t>
      </w:r>
      <w:r w:rsidR="007E5EBA">
        <w:t xml:space="preserve">ve toepassing van </w:t>
      </w:r>
      <w:r w:rsidR="00D911F5">
        <w:t>het meervoudig bronhouderschap.</w:t>
      </w:r>
    </w:p>
    <w:p w14:paraId="064E54D7" w14:textId="061960E6" w:rsidR="009D4EF0" w:rsidRDefault="009D4EF0" w:rsidP="007915C1"/>
    <w:p w14:paraId="16A71DA6" w14:textId="6B4C3296" w:rsidR="009D4EF0" w:rsidRDefault="007E7E96" w:rsidP="007915C1">
      <w:r w:rsidRPr="007E7E96">
        <w:t xml:space="preserve">Opgemerkt wordt dat er toepasbare regels kunnen zijn bij </w:t>
      </w:r>
      <w:r w:rsidR="00DA5620">
        <w:t>onderdelen van</w:t>
      </w:r>
      <w:r>
        <w:t xml:space="preserve"> het wijzigingsbesluit </w:t>
      </w:r>
      <w:r w:rsidR="00DA5620">
        <w:t>die i</w:t>
      </w:r>
      <w:r>
        <w:t xml:space="preserve">n </w:t>
      </w:r>
      <w:r w:rsidRPr="007E7E96">
        <w:t xml:space="preserve">de hoofdregeling </w:t>
      </w:r>
      <w:r w:rsidR="00DA5620">
        <w:t xml:space="preserve">zijn geconsolideerd maar </w:t>
      </w:r>
      <w:r w:rsidR="00253370">
        <w:t xml:space="preserve">door de reactieve interventie geen onderdeel meer vormen van het omgevingsplan. De reactieve interventie brengt </w:t>
      </w:r>
      <w:r w:rsidR="00470798">
        <w:t xml:space="preserve">geen wijzigingen in die toepasbare regels aan. </w:t>
      </w:r>
      <w:r w:rsidR="00BF7BF2">
        <w:t xml:space="preserve">Het ligt op de weg van </w:t>
      </w:r>
      <w:r w:rsidR="00470798">
        <w:t xml:space="preserve">de gemeente </w:t>
      </w:r>
      <w:r w:rsidR="00BF7BF2">
        <w:t xml:space="preserve">om, </w:t>
      </w:r>
      <w:r w:rsidR="00F75AD6">
        <w:t>nadat</w:t>
      </w:r>
      <w:r w:rsidR="00BF7BF2">
        <w:t xml:space="preserve"> </w:t>
      </w:r>
      <w:r w:rsidR="0074253D">
        <w:t xml:space="preserve">zij </w:t>
      </w:r>
      <w:r w:rsidR="00BF7BF2">
        <w:t>de reactieve interventie</w:t>
      </w:r>
      <w:r w:rsidR="0074253D">
        <w:t xml:space="preserve"> heeft verwerkt</w:t>
      </w:r>
      <w:r w:rsidR="00BF7BF2">
        <w:t xml:space="preserve">, de toepasbare regels aan </w:t>
      </w:r>
      <w:r w:rsidR="004428A0">
        <w:t>te passen zodat ze weer in overeenstemming met de hoofdregeling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0" Type="http://schemas.openxmlformats.org/officeDocument/2006/relationships/image" Target="media/image_71b9c146e34051508fa436eeb89d1732.png"/><Relationship Id="rId21" Type="http://schemas.openxmlformats.org/officeDocument/2006/relationships/image" Target="media/image_eea6c6c59ce74aedc03fe5e77bab55cc.png"/><Relationship Id="rId22" Type="http://schemas.openxmlformats.org/officeDocument/2006/relationships/image" Target="media/image_7b6f97402787989ad2ca781efb58fa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