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1B1A" w14:textId="77777777" w:rsidR="00E33EDD" w:rsidRPr="005266A1" w:rsidRDefault="00E33EDD" w:rsidP="00E33EDD">
      <w:pPr>
        <w:pStyle w:val="Kop4"/>
      </w:pPr>
      <w:bookmarkStart w:id="153" w:name="_Ref_bddc043578685daa84c3648cd392b468_1"/>
      <w:r w:rsidRPr="005266A1">
        <w:t>Toelichting</w:t>
      </w:r>
      <w:bookmarkEnd w:id="153"/>
    </w:p>
    <w:p w14:paraId="2B958965" w14:textId="0EADFFD3" w:rsidR="003D5AD3" w:rsidRDefault="00EE7E75" w:rsidP="00E33EDD">
      <w:r>
        <w:t xml:space="preserve">Om het </w:t>
      </w:r>
      <w:r w:rsidR="001235D6">
        <w:t>concept ‘tijdelijk deel van een regeling’</w:t>
      </w:r>
      <w:r>
        <w:t xml:space="preserve">, als </w:t>
      </w:r>
      <w:r w:rsidR="001A3F29" w:rsidRPr="001A3F29">
        <w:t>alternatieve toepassing van</w:t>
      </w:r>
      <w:r>
        <w:t xml:space="preserve"> het meervoudig bronhouderschap, te laten werken </w:t>
      </w:r>
      <w:r w:rsidR="00BC3C57">
        <w:t>stelt dit toepassingsprofiel enkele voorschriften voor de indeling van de reactieve interventie.</w:t>
      </w:r>
      <w:r w:rsidR="00687C6F">
        <w:t xml:space="preserve"> Er gelden voorschriften voor het Lichaam van het Besluit, het Lichaam van de Regeling en voor de geografische informatieobjecten.</w:t>
      </w:r>
    </w:p>
    <w:p w14:paraId="7CB62A9C" w14:textId="4783DCA5" w:rsidR="002B1C63" w:rsidRDefault="008D67B3" w:rsidP="00E33EDD">
      <w:r>
        <w:t>In paragraaf</w:t>
      </w:r>
      <w:r w:rsidR="009E7DA8">
        <w:t xml:space="preserve"> </w:t>
      </w:r>
      <w:r w:rsidR="003F6E11" w:rsidRPr="00B36ACA">
        <w:rPr>
          <w:rStyle w:val="Verwijzing"/>
        </w:rPr>
        <w:fldChar w:fldCharType="begin"/>
      </w:r>
      <w:r w:rsidR="003F6E11" w:rsidRPr="00B36ACA">
        <w:rPr>
          <w:rStyle w:val="Verwijzing"/>
        </w:rPr>
        <w:instrText xml:space="preserve"> REF _Ref_435ee1dab3e3b2d0aae1cb42d213b8bb_1 \n \h </w:instrText>
      </w:r>
      <w:r w:rsidR="003F6E11" w:rsidRPr="00B36ACA">
        <w:rPr>
          <w:rStyle w:val="Verwijzing"/>
        </w:rPr>
      </w:r>
      <w:r w:rsidR="003F6E11" w:rsidRPr="00B36ACA">
        <w:rPr>
          <w:rStyle w:val="Verwijzing"/>
        </w:rPr>
        <w:fldChar w:fldCharType="separate"/>
      </w:r>
      <w:r w:rsidR="003E5406" w:rsidRPr="00B36ACA">
        <w:rPr>
          <w:rStyle w:val="Verwijzing"/>
        </w:rPr>
        <w:t>4.3</w:t>
      </w:r>
      <w:r w:rsidR="003F6E11" w:rsidRPr="00B36ACA">
        <w:rPr>
          <w:rStyle w:val="Verwijzing"/>
        </w:rPr>
        <w:fldChar w:fldCharType="end"/>
      </w:r>
      <w:r w:rsidR="009E7DA8">
        <w:t xml:space="preserve"> </w:t>
      </w:r>
      <w:r w:rsidR="0080181D">
        <w:t>is</w:t>
      </w:r>
      <w:r w:rsidR="00706249">
        <w:t xml:space="preserve"> de </w:t>
      </w:r>
      <w:r w:rsidR="003427A5">
        <w:t xml:space="preserve">toepassing van de STOP-modellen </w:t>
      </w:r>
      <w:r w:rsidR="000E7EBE">
        <w:t xml:space="preserve">voor </w:t>
      </w:r>
      <w:r w:rsidR="00706249">
        <w:t xml:space="preserve">Besluit en </w:t>
      </w:r>
      <w:r w:rsidR="00F179AF" w:rsidRPr="00F179AF">
        <w:t>Regeling</w:t>
      </w:r>
      <w:r w:rsidR="00F179AF">
        <w:t xml:space="preserve"> bij de reactieve interventie </w:t>
      </w:r>
      <w:r w:rsidR="003427A5">
        <w:t xml:space="preserve">vastgelegd en toegelicht. </w:t>
      </w:r>
      <w:r w:rsidR="00B33F32">
        <w:t>Een aantal onderdelen daarvan</w:t>
      </w:r>
      <w:r w:rsidR="00133208">
        <w:t xml:space="preserve"> wordt hier nader toegelicht.</w:t>
      </w:r>
    </w:p>
    <w:p w14:paraId="5D981D53" w14:textId="2551AE34" w:rsidR="00B36ACA" w:rsidRDefault="00687C6F" w:rsidP="000761CA">
      <w:pPr>
        <w:pStyle w:val="Opsommingtekens1"/>
      </w:pPr>
      <w:r w:rsidRPr="00687C6F">
        <w:t>Lichaam van het Besluit</w:t>
      </w:r>
      <w:r w:rsidR="00A618E0">
        <w:br/>
      </w:r>
      <w:r w:rsidR="00480C10">
        <w:t xml:space="preserve">In </w:t>
      </w:r>
      <w:r w:rsidR="00BD4C6A">
        <w:t xml:space="preserve">dit deel </w:t>
      </w:r>
      <w:r w:rsidR="007E2067">
        <w:t xml:space="preserve">staat, in een of meer artikelen, </w:t>
      </w:r>
      <w:r w:rsidR="006B30F3" w:rsidRPr="006B30F3">
        <w:t xml:space="preserve">een </w:t>
      </w:r>
      <w:r w:rsidR="009502DF">
        <w:t xml:space="preserve">(globale) </w:t>
      </w:r>
      <w:r w:rsidR="006B30F3" w:rsidRPr="006B30F3">
        <w:t>omschrijving</w:t>
      </w:r>
      <w:r w:rsidR="00C753E1">
        <w:t xml:space="preserve"> van de onderdelen van het </w:t>
      </w:r>
      <w:r w:rsidR="006B30F3" w:rsidRPr="006B30F3">
        <w:t>gemeentelijke wijzigingsbesluit</w:t>
      </w:r>
      <w:r w:rsidR="00C753E1">
        <w:t xml:space="preserve"> die geen deel uitmaken van het </w:t>
      </w:r>
      <w:r w:rsidR="00230725">
        <w:t>omgevingsplan</w:t>
      </w:r>
      <w:r w:rsidR="006B30F3" w:rsidRPr="006B30F3">
        <w:t>. Het</w:t>
      </w:r>
      <w:r w:rsidR="00DC6845">
        <w:t xml:space="preserve"> </w:t>
      </w:r>
      <w:r w:rsidR="00CF71AC">
        <w:t xml:space="preserve">bevat ook </w:t>
      </w:r>
      <w:r w:rsidR="003871AC">
        <w:t xml:space="preserve">een artikel met </w:t>
      </w:r>
      <w:r w:rsidR="00CF71AC">
        <w:t xml:space="preserve">de opdracht aan de gemeente om te zorgen voor verwerking van de reactieve interventie in </w:t>
      </w:r>
      <w:r w:rsidR="006B30F3" w:rsidRPr="006B30F3">
        <w:t xml:space="preserve">de geconsolideerde regeling van het omgevingsplan, </w:t>
      </w:r>
      <w:r w:rsidR="00AD7CF2">
        <w:t xml:space="preserve">met </w:t>
      </w:r>
      <w:r w:rsidR="006B30F3" w:rsidRPr="006B30F3">
        <w:t xml:space="preserve">daarbij </w:t>
      </w:r>
      <w:r w:rsidR="00AD7CF2">
        <w:t xml:space="preserve">een termijn waarbinnen </w:t>
      </w:r>
      <w:r w:rsidR="006B30F3" w:rsidRPr="006B30F3">
        <w:t>deze</w:t>
      </w:r>
      <w:r w:rsidR="00AD7CF2">
        <w:t xml:space="preserve"> opdracht moet zijn </w:t>
      </w:r>
      <w:r w:rsidR="006B30F3" w:rsidRPr="006B30F3">
        <w:t>uitgevoerd.</w:t>
      </w:r>
    </w:p>
    <w:p w14:paraId="65B3085C" w14:textId="2FA9E8F2" w:rsidR="007D43E9" w:rsidRDefault="00687C6F" w:rsidP="000761CA">
      <w:pPr>
        <w:pStyle w:val="Opsommingtekens1"/>
      </w:pPr>
      <w:r w:rsidRPr="00687C6F">
        <w:t>Lichaam van de Regeling</w:t>
      </w:r>
      <w:r w:rsidR="005A4F6A">
        <w:br/>
      </w:r>
      <w:r w:rsidR="00DC3373">
        <w:t xml:space="preserve">Het </w:t>
      </w:r>
      <w:r w:rsidR="00DC3373" w:rsidRPr="00DC3373">
        <w:t>Lichaam van de Regeling</w:t>
      </w:r>
      <w:r w:rsidR="00641436">
        <w:t xml:space="preserve">, oftewel het tijdelijk regelingdeel, </w:t>
      </w:r>
      <w:r w:rsidR="00771E92" w:rsidRPr="00771E92">
        <w:t>begint met</w:t>
      </w:r>
      <w:r w:rsidR="00DC3373">
        <w:t xml:space="preserve"> de Conditie met daarin</w:t>
      </w:r>
      <w:r w:rsidR="00771E92" w:rsidRPr="00771E92">
        <w:t xml:space="preserve"> een artikel dat </w:t>
      </w:r>
      <w:r w:rsidR="005230DD">
        <w:t>beschrijft wat de</w:t>
      </w:r>
      <w:r w:rsidR="00771E92" w:rsidRPr="00771E92">
        <w:t xml:space="preserve"> verhouding </w:t>
      </w:r>
      <w:r w:rsidR="005230DD">
        <w:t xml:space="preserve">is </w:t>
      </w:r>
      <w:r w:rsidR="00771E92" w:rsidRPr="00771E92">
        <w:t>tussen dit tijdelijk regelingdeel en de hoofdregeling</w:t>
      </w:r>
      <w:r w:rsidR="003636B0">
        <w:t xml:space="preserve"> van het omgevingsplan</w:t>
      </w:r>
      <w:r w:rsidR="00771E92" w:rsidRPr="00771E92">
        <w:t xml:space="preserve">. </w:t>
      </w:r>
      <w:r w:rsidR="00F14D90">
        <w:t xml:space="preserve">Het beschrijft </w:t>
      </w:r>
      <w:r w:rsidR="009A1655">
        <w:t xml:space="preserve">feitelijk dat het </w:t>
      </w:r>
      <w:r w:rsidR="009A1655" w:rsidRPr="009A1655">
        <w:t xml:space="preserve">tijdelijk regelingdeel </w:t>
      </w:r>
      <w:r w:rsidR="009A1655">
        <w:t xml:space="preserve">voorgaat op </w:t>
      </w:r>
      <w:r w:rsidR="009A1655" w:rsidRPr="009A1655">
        <w:t>de hoofdregeling</w:t>
      </w:r>
      <w:r w:rsidR="003636B0">
        <w:t>.</w:t>
      </w:r>
      <w:r w:rsidR="009A1655" w:rsidRPr="009A1655">
        <w:t xml:space="preserve"> </w:t>
      </w:r>
      <w:r w:rsidR="003636B0">
        <w:t>D</w:t>
      </w:r>
      <w:r w:rsidR="000D0F31">
        <w:t>e Kop van d</w:t>
      </w:r>
      <w:r w:rsidR="003636B0">
        <w:t xml:space="preserve">it </w:t>
      </w:r>
      <w:r w:rsidR="00771E92" w:rsidRPr="00771E92">
        <w:t xml:space="preserve">artikel heeft </w:t>
      </w:r>
      <w:r w:rsidR="003636B0">
        <w:t xml:space="preserve">alleen een Opschrift, het heeft </w:t>
      </w:r>
      <w:r w:rsidR="00771E92" w:rsidRPr="00771E92">
        <w:t xml:space="preserve">geen </w:t>
      </w:r>
      <w:r w:rsidR="003636B0">
        <w:t>L</w:t>
      </w:r>
      <w:r w:rsidR="00771E92" w:rsidRPr="00771E92">
        <w:t xml:space="preserve">abel en geen </w:t>
      </w:r>
      <w:r w:rsidR="003636B0">
        <w:t>N</w:t>
      </w:r>
      <w:r w:rsidR="00771E92" w:rsidRPr="00771E92">
        <w:t>ummer</w:t>
      </w:r>
      <w:r w:rsidR="002B3D0D">
        <w:t>.</w:t>
      </w:r>
      <w:r w:rsidR="00771E92" w:rsidRPr="00771E92">
        <w:t xml:space="preserve"> </w:t>
      </w:r>
      <w:r w:rsidR="002B3D0D">
        <w:t xml:space="preserve">Het is aan te bevelen om dit artikel </w:t>
      </w:r>
      <w:r w:rsidR="00771E92" w:rsidRPr="00771E92">
        <w:t xml:space="preserve">het </w:t>
      </w:r>
      <w:r w:rsidR="002B3D0D">
        <w:t>O</w:t>
      </w:r>
      <w:r w:rsidR="00771E92" w:rsidRPr="00771E92">
        <w:t xml:space="preserve">pschrift </w:t>
      </w:r>
      <w:r w:rsidR="002B3D0D">
        <w:t>‘</w:t>
      </w:r>
      <w:r w:rsidR="00771E92" w:rsidRPr="00771E92">
        <w:t>Voorrangsbepaling</w:t>
      </w:r>
      <w:r w:rsidR="002B3D0D">
        <w:t>’ te geven</w:t>
      </w:r>
      <w:r w:rsidR="000E59A4">
        <w:t>.</w:t>
      </w:r>
      <w:r w:rsidR="00DF74CC">
        <w:t xml:space="preserve"> </w:t>
      </w:r>
      <w:r w:rsidR="007915D8">
        <w:t xml:space="preserve">Dit </w:t>
      </w:r>
      <w:r w:rsidR="00117EAA" w:rsidRPr="00117EAA">
        <w:t>artikel wordt niet in een hoofdstuk ondergebracht.</w:t>
      </w:r>
      <w:r w:rsidR="00117EAA">
        <w:br/>
      </w:r>
      <w:r w:rsidR="009340D4">
        <w:t xml:space="preserve">Vervolgens bevat het Lichaam van de Regeling een of meer artikelen </w:t>
      </w:r>
      <w:r w:rsidR="00AE064D">
        <w:t xml:space="preserve">waarin staat </w:t>
      </w:r>
      <w:r w:rsidR="003D16CA">
        <w:t xml:space="preserve">hoe </w:t>
      </w:r>
      <w:r w:rsidR="00F16617" w:rsidRPr="00F16617">
        <w:t xml:space="preserve">de regels van </w:t>
      </w:r>
      <w:r w:rsidR="00FC6E1D" w:rsidRPr="00FC6E1D">
        <w:t xml:space="preserve">(de hoofdregeling van) </w:t>
      </w:r>
      <w:r w:rsidR="00F16617" w:rsidRPr="00F16617">
        <w:t>het omgevingsplan luiden door toedoen van de reactieve interventie.</w:t>
      </w:r>
      <w:r w:rsidR="00D76900" w:rsidRPr="00D76900">
        <w:t xml:space="preserve"> </w:t>
      </w:r>
      <w:r w:rsidR="00AE064D">
        <w:t xml:space="preserve">Deze artikelen worden </w:t>
      </w:r>
      <w:r w:rsidR="00D76900" w:rsidRPr="00D76900">
        <w:t>ondergebracht in een of meer hoofdstukken</w:t>
      </w:r>
      <w:r w:rsidR="00F16617">
        <w:t xml:space="preserve">. </w:t>
      </w:r>
      <w:r w:rsidR="009744D8">
        <w:t xml:space="preserve">Als </w:t>
      </w:r>
      <w:r w:rsidR="002F3C09">
        <w:t xml:space="preserve">er bij de reactieve interventie </w:t>
      </w:r>
      <w:r w:rsidR="009744D8">
        <w:t xml:space="preserve">geografische informatieobjecten </w:t>
      </w:r>
      <w:r w:rsidR="00381C38">
        <w:t>zijn gevoegd</w:t>
      </w:r>
      <w:r w:rsidR="009744D8">
        <w:t xml:space="preserve">, </w:t>
      </w:r>
      <w:r w:rsidR="00353F7B">
        <w:t xml:space="preserve">zijn in </w:t>
      </w:r>
      <w:r w:rsidR="00353F7B" w:rsidRPr="00353F7B">
        <w:t xml:space="preserve">een bijlage </w:t>
      </w:r>
      <w:r w:rsidR="00537D6E">
        <w:t xml:space="preserve">bij het tijdelijk regelingdeel </w:t>
      </w:r>
      <w:r w:rsidR="00353F7B" w:rsidRPr="00353F7B">
        <w:t xml:space="preserve">de </w:t>
      </w:r>
      <w:r w:rsidR="00353F7B">
        <w:t xml:space="preserve">namen </w:t>
      </w:r>
      <w:r w:rsidR="00353F7B" w:rsidRPr="00353F7B">
        <w:t xml:space="preserve">en identificatiecodes van de </w:t>
      </w:r>
      <w:r w:rsidR="009B1187" w:rsidRPr="009B1187">
        <w:t xml:space="preserve">geografische </w:t>
      </w:r>
      <w:r w:rsidR="00353F7B" w:rsidRPr="00353F7B">
        <w:t>informatieobjecten opgenomen</w:t>
      </w:r>
      <w:r w:rsidR="00353F7B">
        <w:t>.</w:t>
      </w:r>
    </w:p>
    <w:p w14:paraId="24554731" w14:textId="4E0657CE" w:rsidR="00D7040E" w:rsidRDefault="007D43E9" w:rsidP="000761CA">
      <w:pPr>
        <w:pStyle w:val="Opsommingtekens1"/>
      </w:pPr>
      <w:r>
        <w:t>G</w:t>
      </w:r>
      <w:r w:rsidRPr="007D43E9">
        <w:t>eografische informatieobjecten</w:t>
      </w:r>
      <w:r w:rsidR="00A84EC9">
        <w:br/>
      </w:r>
      <w:r w:rsidR="00A84EC9" w:rsidRPr="00A84EC9">
        <w:t xml:space="preserve">Waar nodig zijn bij de reactieve interventie geografische informatieobjecten gevoegd. Daarmee kan bijvoorbeeld het deel van de Locaties worden aangegeven waar een bepaalde regel uit het wijzigingsbesluit niet geldt. Het zijn geografische </w:t>
      </w:r>
      <w:r w:rsidR="00A84EC9" w:rsidRPr="00A84EC9">
        <w:lastRenderedPageBreak/>
        <w:t>informatieobjecten die horen bij het tijdelijk regelingdeel; ze geven aan hoe de gemeente de Locaties in het omgevingsplan moet aanpassen en ze zijn niet bedoeld om door de gemeente te worden overgenomen in de verwerking van de reactieve interventie.</w:t>
      </w:r>
      <w:r w:rsidR="00D76900">
        <w:br/>
      </w:r>
    </w:p>
    <w:p w14:paraId="6B1457F8" w14:textId="5207C9EA" w:rsidR="00AC3715" w:rsidRDefault="000F2103" w:rsidP="002B1C63">
      <w:r w:rsidRPr="00B36ACA">
        <w:rPr>
          <w:rStyle w:val="Verwijzing"/>
        </w:rPr>
        <w:fldChar w:fldCharType="begin"/>
      </w:r>
      <w:r w:rsidRPr="00B36ACA">
        <w:rPr>
          <w:rStyle w:val="Verwijzing"/>
        </w:rPr>
        <w:instrText xml:space="preserve"> REF _Ref_bddc043578685daa84c3648cd392b468_2</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7</w:t>
      </w:r>
      <w:r w:rsidRPr="00B36ACA">
        <w:rPr>
          <w:rStyle w:val="Verwijzing"/>
        </w:rPr>
        <w:fldChar w:fldCharType="end"/>
      </w:r>
      <w:r>
        <w:t xml:space="preserve"> </w:t>
      </w:r>
      <w:r w:rsidR="00CE1DBE">
        <w:t xml:space="preserve">toont </w:t>
      </w:r>
      <w:r w:rsidR="002D2871">
        <w:t xml:space="preserve">het Lichaam van </w:t>
      </w:r>
      <w:r w:rsidR="001877A1">
        <w:t xml:space="preserve">het Besluit </w:t>
      </w:r>
      <w:r w:rsidR="008615BB">
        <w:t xml:space="preserve">van de reactieve interventie, met voorbeeldteksten voor </w:t>
      </w:r>
      <w:r w:rsidR="001877A1">
        <w:t xml:space="preserve">de globale </w:t>
      </w:r>
      <w:r w:rsidR="00F41773">
        <w:t>omschrijving van de onderdelen van het wijzigingsbesluit die geen</w:t>
      </w:r>
      <w:r w:rsidR="008615BB">
        <w:t xml:space="preserve"> </w:t>
      </w:r>
      <w:r w:rsidR="00D369FF">
        <w:t xml:space="preserve">deel </w:t>
      </w:r>
      <w:r w:rsidR="00F41773">
        <w:t>uitmaken van het omgevingsplan</w:t>
      </w:r>
      <w:r w:rsidR="000559AD">
        <w:t xml:space="preserve"> en</w:t>
      </w:r>
      <w:r w:rsidR="00D369FF">
        <w:t xml:space="preserve"> de opdracht aan de gemeente tot verwerking</w:t>
      </w:r>
      <w:r w:rsidR="000559AD">
        <w:t xml:space="preserve">. </w:t>
      </w:r>
      <w:r w:rsidR="000559AD" w:rsidRPr="00B36ACA">
        <w:rPr>
          <w:rStyle w:val="Verwijzing"/>
        </w:rPr>
        <w:fldChar w:fldCharType="begin"/>
      </w:r>
      <w:r w:rsidR="000559AD" w:rsidRPr="00B36ACA">
        <w:rPr>
          <w:rStyle w:val="Verwijzing"/>
        </w:rPr>
        <w:instrText xml:space="preserve"> REF _Ref_bddc043578685daa84c3648cd392b468_3</w:instrText>
      </w:r>
      <w:r w:rsidR="001A327F" w:rsidRPr="00B36ACA">
        <w:rPr>
          <w:rStyle w:val="Verwijzing"/>
        </w:rPr>
        <w:instrText>\n \h</w:instrText>
      </w:r>
      <w:r w:rsidR="000559AD" w:rsidRPr="00B36ACA">
        <w:rPr>
          <w:rStyle w:val="Verwijzing"/>
        </w:rPr>
        <w:instrText xml:space="preserve"> </w:instrText>
      </w:r>
      <w:r w:rsidR="000559AD" w:rsidRPr="00B36ACA">
        <w:rPr>
          <w:rStyle w:val="Verwijzing"/>
        </w:rPr>
      </w:r>
      <w:r w:rsidR="000559AD" w:rsidRPr="00B36ACA">
        <w:rPr>
          <w:rStyle w:val="Verwijzing"/>
        </w:rPr>
        <w:fldChar w:fldCharType="separate"/>
      </w:r>
      <w:r w:rsidR="003E5406" w:rsidRPr="00B36ACA">
        <w:rPr>
          <w:rStyle w:val="Verwijzing"/>
        </w:rPr>
        <w:t>Figuur 8</w:t>
      </w:r>
      <w:r w:rsidR="000559AD" w:rsidRPr="00B36ACA">
        <w:rPr>
          <w:rStyle w:val="Verwijzing"/>
        </w:rPr>
        <w:fldChar w:fldCharType="end"/>
      </w:r>
      <w:r w:rsidR="000559AD">
        <w:t xml:space="preserve"> geeft een beeld van </w:t>
      </w:r>
      <w:r w:rsidR="009A3680">
        <w:t xml:space="preserve">het tijdelijk regelingdeel </w:t>
      </w:r>
      <w:r w:rsidR="000559AD" w:rsidRPr="000559AD">
        <w:t>van de reactieve interventie</w:t>
      </w:r>
      <w:r w:rsidR="004151E9">
        <w:t>; te zien zijn</w:t>
      </w:r>
      <w:r w:rsidR="00D369FF">
        <w:t xml:space="preserve"> de conditie </w:t>
      </w:r>
      <w:r w:rsidR="003D7E0B">
        <w:t>en de regels van het omgevingsplan zoals ze luiden</w:t>
      </w:r>
      <w:r w:rsidR="00313451">
        <w:t xml:space="preserve"> </w:t>
      </w:r>
      <w:r w:rsidR="00313451" w:rsidRPr="00313451">
        <w:t>door toedoen van de reactieve interventie</w:t>
      </w:r>
      <w:r w:rsidR="00D369FF">
        <w:t xml:space="preserve">. </w:t>
      </w:r>
      <w:r w:rsidR="00632A4E">
        <w:t xml:space="preserve">In het </w:t>
      </w:r>
      <w:r w:rsidR="00313451">
        <w:t>tijdelijk regeling</w:t>
      </w:r>
      <w:r w:rsidR="00632A4E">
        <w:t xml:space="preserve">deel is te zien dat </w:t>
      </w:r>
      <w:r w:rsidR="00644FE9">
        <w:t xml:space="preserve">het instrument is opgezet in de </w:t>
      </w:r>
      <w:r w:rsidR="008639C0" w:rsidRPr="008639C0">
        <w:t>Artikelstructuur</w:t>
      </w:r>
      <w:r w:rsidR="00644FE9">
        <w:t>.</w:t>
      </w:r>
    </w:p>
    <w:p w14:paraId="2118054F" w14:textId="00A81EBC" w:rsidR="004E02EA" w:rsidRPr="004E02EA" w:rsidRDefault="00E8473A" w:rsidP="004E02EA">
      <w:pPr>
        <w:pStyle w:val="Figuur"/>
      </w:pPr>
      <w:r>
        <w:rPr>
          <w:noProof/>
        </w:rPr>
        <w:drawing>
          <wp:inline distT="0" distB="0" distL="0" distR="0" wp14:anchorId="4CAFC3E6" wp14:editId="1EBB9FCE">
            <wp:extent cx="5400040" cy="4050030"/>
            <wp:effectExtent l="19050" t="19050" r="10160" b="2667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8"/>
                    <a:stretch>
                      <a:fillRect/>
                    </a:stretch>
                  </pic:blipFill>
                  <pic:spPr>
                    <a:xfrm>
                      <a:off x="0" y="0"/>
                      <a:ext cx="5400040" cy="4050030"/>
                    </a:xfrm>
                    <a:prstGeom prst="rect">
                      <a:avLst/>
                    </a:prstGeom>
                    <a:ln>
                      <a:solidFill>
                        <a:schemeClr val="accent1"/>
                      </a:solidFill>
                    </a:ln>
                  </pic:spPr>
                </pic:pic>
              </a:graphicData>
            </a:graphic>
          </wp:inline>
        </w:drawing>
      </w:r>
    </w:p>
    <w:p w14:paraId="7D72E142" w14:textId="3168E907" w:rsidR="00D530C6" w:rsidRDefault="00086D46" w:rsidP="00D530C6">
      <w:pPr>
        <w:pStyle w:val="Figuurbijschrift"/>
      </w:pPr>
      <w:bookmarkStart w:id="155" w:name="_Ref_bddc043578685daa84c3648cd392b468_2"/>
      <w:r>
        <w:t xml:space="preserve">Schematische weergave </w:t>
      </w:r>
      <w:r w:rsidR="00C621B8">
        <w:t xml:space="preserve">van </w:t>
      </w:r>
      <w:r w:rsidR="00343E16">
        <w:t xml:space="preserve">het </w:t>
      </w:r>
      <w:r w:rsidR="00CC28A1">
        <w:t>Besluit</w:t>
      </w:r>
      <w:r w:rsidR="00C157E2">
        <w:t>-deel</w:t>
      </w:r>
      <w:r w:rsidR="00C621B8">
        <w:t xml:space="preserve"> van de reactieve interventie</w:t>
      </w:r>
      <w:r w:rsidR="005815B4">
        <w:t xml:space="preserve"> met voorbeeldtekst</w:t>
      </w:r>
      <w:r w:rsidR="00CC4E7F">
        <w:t>en</w:t>
      </w:r>
      <w:bookmarkEnd w:id="155"/>
    </w:p>
    <w:p w14:paraId="0EDA1E55" w14:textId="1BB3FFAC" w:rsidR="003635E2" w:rsidRDefault="00581934" w:rsidP="003635E2">
      <w:pPr>
        <w:pStyle w:val="Figuur"/>
      </w:pPr>
      <w:r>
        <w:rPr>
          <w:noProof/>
        </w:rPr>
        <w:lastRenderedPageBreak/>
        <w:drawing>
          <wp:inline distT="0" distB="0" distL="0" distR="0" wp14:anchorId="636439F5" wp14:editId="608BE89D">
            <wp:extent cx="5400040" cy="3361055"/>
            <wp:effectExtent l="19050" t="19050" r="10160" b="10795"/>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9"/>
                    <a:stretch>
                      <a:fillRect/>
                    </a:stretch>
                  </pic:blipFill>
                  <pic:spPr>
                    <a:xfrm>
                      <a:off x="0" y="0"/>
                      <a:ext cx="5400040" cy="3361055"/>
                    </a:xfrm>
                    <a:prstGeom prst="rect">
                      <a:avLst/>
                    </a:prstGeom>
                    <a:ln>
                      <a:solidFill>
                        <a:schemeClr val="accent1"/>
                      </a:solidFill>
                    </a:ln>
                  </pic:spPr>
                </pic:pic>
              </a:graphicData>
            </a:graphic>
          </wp:inline>
        </w:drawing>
      </w:r>
    </w:p>
    <w:p w14:paraId="50E64A1F" w14:textId="20C07DBF" w:rsidR="003635E2" w:rsidRDefault="00423404" w:rsidP="003635E2">
      <w:pPr>
        <w:pStyle w:val="Figuurbijschrift"/>
      </w:pPr>
      <w:bookmarkStart w:id="156" w:name="_Ref_bddc043578685daa84c3648cd392b468_3"/>
      <w:r w:rsidRPr="00423404">
        <w:t xml:space="preserve">Schematische weergave van </w:t>
      </w:r>
      <w:r w:rsidR="00C157E2">
        <w:t>het Regeling-deel</w:t>
      </w:r>
      <w:r w:rsidRPr="00423404">
        <w:t xml:space="preserve"> van de reactieve interventie met voorbeeldteksten</w:t>
      </w:r>
      <w:bookmarkEnd w:id="15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8" Type="http://schemas.openxmlformats.org/officeDocument/2006/relationships/image" Target="media/image_d032f7e790815aaab08ae315e8aa4471.png"/><Relationship Id="rId29" Type="http://schemas.openxmlformats.org/officeDocument/2006/relationships/image" Target="media/image_b2f4cc4bd517eb2011244e808d2b4df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