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65502F" w:rsidRDefault="00300143" w:rsidP="0065502F">
      <w:pPr>
        <w:pStyle w:val="Kop4"/>
      </w:pPr>
      <w:r>
        <w:t>Annotatie</w:t>
      </w:r>
    </w:p>
    <w:p w14:paraId="3A66567F" w14:textId="01D45E90" w:rsidR="0065502F" w:rsidRDefault="00300143" w:rsidP="0065502F">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70958065" w:rsidR="0065502F" w:rsidRPr="00FA76F2" w:rsidRDefault="00300143" w:rsidP="0065502F">
      <w:r>
        <w:t xml:space="preserve">Dat kan wel met het in paragraaf </w:t>
      </w:r>
      <w:r w:rsidRPr="00B36ACA">
        <w:rPr>
          <w:rStyle w:val="Verwijzing"/>
        </w:rPr>
        <w:fldChar w:fldCharType="begin"/>
      </w:r>
      <w:r w:rsidRPr="00B36ACA">
        <w:rPr>
          <w:rStyle w:val="Verwijzing"/>
        </w:rPr>
        <w:instrText xml:space="preserve"> REF _Ref_7176dbe765072a3b0e1b11ce6d3ec6bd_1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3.4</w:t>
      </w:r>
      <w:r w:rsidRPr="00B36ACA">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Locaties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