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95C1" w14:textId="62A90727" w:rsidR="000B40EF" w:rsidRDefault="006F78B8" w:rsidP="000B40EF">
      <w:pPr>
        <w:pStyle w:val="Kop3"/>
      </w:pPr>
      <w:bookmarkStart w:id="188" w:name="_Ref_c325ffa0ccd83051c1574cec7d4b67a2_1"/>
      <w:r>
        <w:t>Productmodel: h</w:t>
      </w:r>
      <w:r w:rsidR="000B40EF">
        <w:t>et IMOW-UML-diagram</w:t>
      </w:r>
      <w:bookmarkEnd w:id="188"/>
      <w:r w:rsidR="00300143">
        <w:t xml:space="preserve"> voor </w:t>
      </w:r>
      <w:r w:rsidR="000B40EF">
        <w:fldChar w:fldCharType="begin"/>
      </w:r>
      <w:r w:rsidR="000B40EF">
        <w:instrText>DOCVARIABLE ID01+</w:instrText>
      </w:r>
      <w:r w:rsidR="000B40EF">
        <w:fldChar w:fldCharType="separate"/>
      </w:r>
      <w:r w:rsidR="003E5406">
        <w:t>de reactieve interventie</w:t>
      </w:r>
      <w:r w:rsidR="000B40EF">
        <w:fldChar w:fldCharType="end"/>
      </w:r>
    </w:p>
    <w:p w14:paraId="7AA99359" w14:textId="78A87899" w:rsidR="00E1358C" w:rsidRDefault="00D353FE" w:rsidP="00E1358C">
      <w:r w:rsidRPr="00B36ACA">
        <w:rPr>
          <w:rStyle w:val="Verwijzing"/>
        </w:rPr>
        <w:fldChar w:fldCharType="begin"/>
      </w:r>
      <w:r w:rsidRPr="00B36ACA">
        <w:rPr>
          <w:rStyle w:val="Verwijzing"/>
        </w:rPr>
        <w:instrText xml:space="preserve"> REF _Ref_c325ffa0ccd83051c1574cec7d4b67a2_2</w:instrText>
      </w:r>
      <w:r w:rsidR="001A327F" w:rsidRPr="00B36ACA">
        <w:rPr>
          <w:rStyle w:val="Verwijzing"/>
        </w:rPr>
        <w:instrText>\n \h</w:instrText>
      </w:r>
      <w:r w:rsidRPr="00B36ACA">
        <w:rPr>
          <w:rStyle w:val="Verwijzing"/>
        </w:rPr>
        <w:instrText xml:space="preserve"> </w:instrText>
      </w:r>
      <w:r w:rsidRPr="00B36ACA">
        <w:rPr>
          <w:rStyle w:val="Verwijzing"/>
        </w:rPr>
      </w:r>
      <w:r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Figuur 13</w:t>
      </w:r>
      <w:r w:rsidRPr="00B36ACA">
        <w:rPr>
          <w:rStyle w:val="Verwijzing"/>
        </w:rPr>
        <w:fldChar w:fldCharType="end"/>
      </w:r>
      <w:r w:rsidR="00526FEC" w:rsidRPr="00526FEC">
        <w:t xml:space="preserve"> toont het volledige IMOW-diagram in UML </w:t>
      </w:r>
      <w:r w:rsidR="00300143" w:rsidRPr="0012396B">
        <w:t xml:space="preserve">voor </w:t>
      </w:r>
      <w:r w:rsidR="00072DE0">
        <w:t xml:space="preserve">het </w:t>
      </w:r>
      <w:r w:rsidR="005A00F4">
        <w:t>tijdelijk regelingdeel van</w:t>
      </w:r>
      <w:r w:rsidR="00072DE0">
        <w:t xml:space="preserve"> </w:t>
      </w:r>
      <w:r>
        <w:fldChar w:fldCharType="begin"/>
      </w:r>
      <w:r>
        <w:instrText>DOCVARIABLE ID01+</w:instrText>
      </w:r>
      <w:r>
        <w:fldChar w:fldCharType="separate"/>
      </w:r>
      <w:r w:rsidR="003E5406">
        <w:t>de reactieve interventie</w:t>
      </w:r>
      <w:r>
        <w:fldChar w:fldCharType="end"/>
      </w:r>
      <w:r w:rsidR="00B707F1">
        <w:t>.</w:t>
      </w:r>
    </w:p>
    <w:p w14:paraId="5267ED4F" w14:textId="52B141D2" w:rsidR="00B36ACA" w:rsidRDefault="00495BC3" w:rsidP="00B707F1">
      <w:pPr>
        <w:pStyle w:val="Figuur"/>
      </w:pPr>
      <w:r>
        <w:rPr>
          <w:noProof/>
        </w:rPr>
        <w:drawing>
          <wp:inline distT="0" distB="0" distL="0" distR="0" wp14:anchorId="0D4228C7" wp14:editId="321197E1">
            <wp:extent cx="5400040" cy="2667000"/>
            <wp:effectExtent l="0" t="0" r="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4"/>
                    <pic:cNvPicPr/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0" w:name="_Ref_c325ffa0ccd83051c1574cec7d4b67a2_2"/>
    </w:p>
    <w:p w14:paraId="0DA5B32B" w14:textId="7807D958" w:rsidR="00B707F1" w:rsidRPr="00B707F1" w:rsidRDefault="00B707F1" w:rsidP="007D5679">
      <w:pPr>
        <w:pStyle w:val="Figuurbijschrift"/>
      </w:pPr>
      <w:r w:rsidRPr="00B707F1">
        <w:t>UML-klassediagram van IMOW toegepast op</w:t>
      </w:r>
      <w:bookmarkEnd w:id="190"/>
      <w:r w:rsidR="00300143">
        <w:t xml:space="preserve"> </w:t>
      </w:r>
      <w:r>
        <w:fldChar w:fldCharType="begin"/>
      </w:r>
      <w:r>
        <w:instrText>DOCVARIABLE ID01+</w:instrText>
      </w:r>
      <w:r>
        <w:fldChar w:fldCharType="separate"/>
      </w:r>
      <w:r w:rsidR="003E5406">
        <w:t>de reactieve interventie</w:t>
      </w:r>
      <w:r>
        <w:fldChar w:fldCharType="end"/>
      </w:r>
    </w:p>
    <w:p w14:paraId="579661EA" w14:textId="6CC95AC2" w:rsidR="0065502F" w:rsidRDefault="00300143" w:rsidP="0065502F">
      <w:r>
        <w:t>In het diagram zijn in blauw de tekstobjecten weergegeven</w:t>
      </w:r>
      <w:r w:rsidR="00F9442B">
        <w:t>:</w:t>
      </w:r>
      <w:r>
        <w:t xml:space="preserve"> </w:t>
      </w:r>
      <w:r w:rsidR="00B567C3" w:rsidRPr="00B567C3">
        <w:t xml:space="preserve">Regeltekst en Juridische regel. </w:t>
      </w:r>
      <w:r>
        <w:t xml:space="preserve">In roze is Locatie met zijn verschijningsvormen weergegeven. </w:t>
      </w:r>
      <w:r w:rsidR="00522F9D" w:rsidRPr="00522F9D">
        <w:t xml:space="preserve">In het model is aangegeven </w:t>
      </w:r>
      <w:r w:rsidR="00522F9D" w:rsidRPr="00522F9D">
        <w:lastRenderedPageBreak/>
        <w:t xml:space="preserve">welke waardelijsten van toepassing zijn. </w:t>
      </w:r>
      <w:r>
        <w:t xml:space="preserve">In paragraaf </w:t>
      </w:r>
      <w:r w:rsidRPr="00B36ACA">
        <w:rPr>
          <w:rStyle w:val="Verwijzing"/>
        </w:rPr>
        <w:fldChar w:fldCharType="begin"/>
      </w:r>
      <w:r w:rsidRPr="00B36ACA">
        <w:rPr>
          <w:rStyle w:val="Verwijzing"/>
        </w:rPr>
        <w:instrText xml:space="preserve"> REF _Ref_cfcba1dd50be6c726f571855a199e6a0_1</w:instrText>
      </w:r>
      <w:r w:rsidR="001A327F" w:rsidRPr="00B36ACA">
        <w:rPr>
          <w:rStyle w:val="Verwijzing"/>
        </w:rPr>
        <w:instrText>\n \h</w:instrText>
      </w:r>
      <w:r w:rsidRPr="00B36ACA">
        <w:rPr>
          <w:rStyle w:val="Verwijzing"/>
        </w:rPr>
        <w:instrText xml:space="preserve"> </w:instrText>
      </w:r>
      <w:r w:rsidRPr="00B36ACA">
        <w:rPr>
          <w:rStyle w:val="Verwijzing"/>
        </w:rPr>
      </w:r>
      <w:r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6.4</w:t>
      </w:r>
      <w:r w:rsidRPr="00B36ACA">
        <w:rPr>
          <w:rStyle w:val="Verwijzing"/>
        </w:rPr>
        <w:fldChar w:fldCharType="end"/>
      </w:r>
      <w:r>
        <w:t xml:space="preserve"> worden de objecten in detail beschreven.</w:t>
      </w:r>
    </w:p>
    <w:p w14:paraId="28B019C2" w14:textId="06D8F1CF" w:rsidR="00FA7536" w:rsidRDefault="00FA7536" w:rsidP="0065502F"/>
    <w:p w14:paraId="1E510819" w14:textId="273763C9" w:rsidR="00AB6254" w:rsidRDefault="00D6219D" w:rsidP="0065502F">
      <w:r>
        <w:t xml:space="preserve">De tekst van </w:t>
      </w:r>
      <w:r w:rsidR="00976FDF">
        <w:t xml:space="preserve">het tijdelijk regelingdeel van </w:t>
      </w:r>
      <w:r>
        <w:t xml:space="preserve">de reactieve interventie </w:t>
      </w:r>
      <w:r w:rsidR="007B0876" w:rsidRPr="007B0876">
        <w:t xml:space="preserve">kan worden geannoteerd </w:t>
      </w:r>
      <w:r w:rsidR="00FF4722">
        <w:t xml:space="preserve">met de IMOW-objecttypen </w:t>
      </w:r>
      <w:r w:rsidR="00495BC3">
        <w:t>Regeltekst</w:t>
      </w:r>
      <w:r w:rsidR="00FF4722">
        <w:t xml:space="preserve"> </w:t>
      </w:r>
      <w:r w:rsidR="00A830AB">
        <w:t xml:space="preserve">(zie paragraaf </w:t>
      </w:r>
      <w:r w:rsidR="00495BC3" w:rsidRPr="00B36ACA">
        <w:rPr>
          <w:rStyle w:val="Verwijzing"/>
        </w:rPr>
        <w:fldChar w:fldCharType="begin"/>
      </w:r>
      <w:r w:rsidR="00495BC3" w:rsidRPr="00B36ACA">
        <w:rPr>
          <w:rStyle w:val="Verwijzing"/>
        </w:rPr>
        <w:instrText xml:space="preserve"> REF _Ref_cfcba1dd50be6c726f571855a199e6a0_2</w:instrText>
      </w:r>
      <w:r w:rsidR="001A327F" w:rsidRPr="00B36ACA">
        <w:rPr>
          <w:rStyle w:val="Verwijzing"/>
        </w:rPr>
        <w:instrText>\n \h</w:instrText>
      </w:r>
      <w:r w:rsidR="00495BC3" w:rsidRPr="00B36ACA">
        <w:rPr>
          <w:rStyle w:val="Verwijzing"/>
        </w:rPr>
        <w:instrText xml:space="preserve"> </w:instrText>
      </w:r>
      <w:r w:rsidR="00495BC3" w:rsidRPr="00B36ACA">
        <w:rPr>
          <w:rStyle w:val="Verwijzing"/>
        </w:rPr>
      </w:r>
      <w:r w:rsidR="00495BC3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6.4.1</w:t>
      </w:r>
      <w:r w:rsidR="00495BC3" w:rsidRPr="00B36ACA">
        <w:rPr>
          <w:rStyle w:val="Verwijzing"/>
        </w:rPr>
        <w:fldChar w:fldCharType="end"/>
      </w:r>
      <w:r w:rsidR="00A830AB">
        <w:t xml:space="preserve">) </w:t>
      </w:r>
      <w:r w:rsidR="00FF4722">
        <w:t xml:space="preserve">en </w:t>
      </w:r>
      <w:r w:rsidR="00495BC3">
        <w:t>Juridische regel</w:t>
      </w:r>
      <w:r w:rsidR="00E14914">
        <w:t xml:space="preserve"> (zie paragraaf </w:t>
      </w:r>
      <w:r w:rsidR="00495BC3" w:rsidRPr="00B36ACA">
        <w:rPr>
          <w:rStyle w:val="Verwijzing"/>
        </w:rPr>
        <w:fldChar w:fldCharType="begin"/>
      </w:r>
      <w:r w:rsidR="00495BC3" w:rsidRPr="00B36ACA">
        <w:rPr>
          <w:rStyle w:val="Verwijzing"/>
        </w:rPr>
        <w:instrText xml:space="preserve"> REF _Ref_88e63ceb009bced83185ccb59a275a6f_1</w:instrText>
      </w:r>
      <w:r w:rsidR="001A327F" w:rsidRPr="00B36ACA">
        <w:rPr>
          <w:rStyle w:val="Verwijzing"/>
        </w:rPr>
        <w:instrText>\n \h</w:instrText>
      </w:r>
      <w:r w:rsidR="00495BC3" w:rsidRPr="00B36ACA">
        <w:rPr>
          <w:rStyle w:val="Verwijzing"/>
        </w:rPr>
        <w:instrText xml:space="preserve"> </w:instrText>
      </w:r>
      <w:r w:rsidR="00495BC3" w:rsidRPr="00B36ACA">
        <w:rPr>
          <w:rStyle w:val="Verwijzing"/>
        </w:rPr>
      </w:r>
      <w:r w:rsidR="00495BC3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6.4.2</w:t>
      </w:r>
      <w:r w:rsidR="00495BC3" w:rsidRPr="00B36ACA">
        <w:rPr>
          <w:rStyle w:val="Verwijzing"/>
        </w:rPr>
        <w:fldChar w:fldCharType="end"/>
      </w:r>
      <w:r w:rsidR="00495BC3">
        <w:t>)</w:t>
      </w:r>
      <w:r w:rsidR="00FF4722">
        <w:t xml:space="preserve">. </w:t>
      </w:r>
      <w:r w:rsidR="00623E3D">
        <w:t xml:space="preserve">De Juridische regel </w:t>
      </w:r>
      <w:r w:rsidR="00A81F1B">
        <w:t>b</w:t>
      </w:r>
      <w:r w:rsidR="004D3197">
        <w:t xml:space="preserve">ij de reactieve interventie </w:t>
      </w:r>
      <w:r w:rsidR="00A81F1B">
        <w:t xml:space="preserve">is altijd van </w:t>
      </w:r>
      <w:r w:rsidR="00623E3D">
        <w:t xml:space="preserve">het type Regel voor iedereen. </w:t>
      </w:r>
      <w:r w:rsidR="00495BC3">
        <w:t>I</w:t>
      </w:r>
      <w:r w:rsidR="00A4670B">
        <w:t>eder</w:t>
      </w:r>
      <w:r w:rsidR="00495BC3">
        <w:t>e</w:t>
      </w:r>
      <w:r w:rsidR="00A4670B">
        <w:t xml:space="preserve"> </w:t>
      </w:r>
      <w:r w:rsidR="00495BC3">
        <w:t xml:space="preserve">Juridische regel moet </w:t>
      </w:r>
      <w:r w:rsidR="00AC7C15">
        <w:t xml:space="preserve">met een Locatie </w:t>
      </w:r>
      <w:r w:rsidR="00E14914">
        <w:t xml:space="preserve">(zie paragraaf </w:t>
      </w:r>
      <w:r w:rsidR="000436E4" w:rsidRPr="00B36ACA">
        <w:rPr>
          <w:rStyle w:val="Verwijzing"/>
        </w:rPr>
        <w:fldChar w:fldCharType="begin"/>
      </w:r>
      <w:r w:rsidR="000436E4" w:rsidRPr="00B36ACA">
        <w:rPr>
          <w:rStyle w:val="Verwijzing"/>
        </w:rPr>
        <w:instrText xml:space="preserve"> REF _Ref_f4d50b6bba7c81c6da9d8c3e3d821c93_1</w:instrText>
      </w:r>
      <w:r w:rsidR="001A327F" w:rsidRPr="00B36ACA">
        <w:rPr>
          <w:rStyle w:val="Verwijzing"/>
        </w:rPr>
        <w:instrText>\n \h</w:instrText>
      </w:r>
      <w:r w:rsidR="000436E4" w:rsidRPr="00B36ACA">
        <w:rPr>
          <w:rStyle w:val="Verwijzing"/>
        </w:rPr>
        <w:instrText xml:space="preserve"> </w:instrText>
      </w:r>
      <w:r w:rsidR="000436E4" w:rsidRPr="00B36ACA">
        <w:rPr>
          <w:rStyle w:val="Verwijzing"/>
        </w:rPr>
      </w:r>
      <w:r w:rsidR="000436E4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6.4.3</w:t>
      </w:r>
      <w:r w:rsidR="000436E4" w:rsidRPr="00B36ACA">
        <w:rPr>
          <w:rStyle w:val="Verwijzing"/>
        </w:rPr>
        <w:fldChar w:fldCharType="end"/>
      </w:r>
      <w:r w:rsidR="00E14914">
        <w:t xml:space="preserve">) </w:t>
      </w:r>
      <w:r w:rsidR="00AC7C15">
        <w:t>verb</w:t>
      </w:r>
      <w:r w:rsidR="00495BC3">
        <w:t>o</w:t>
      </w:r>
      <w:r w:rsidR="00AC7C15">
        <w:t>nden</w:t>
      </w:r>
      <w:r w:rsidR="00495BC3">
        <w:t xml:space="preserve"> worden</w:t>
      </w:r>
      <w:r w:rsidR="00AC7C15">
        <w:t xml:space="preserve">. Op die manier is het </w:t>
      </w:r>
      <w:r w:rsidR="00BF388A">
        <w:t xml:space="preserve">mogelijk om vanuit de kaart in DSO-LV de reactieve interventie te vinden. </w:t>
      </w:r>
      <w:r w:rsidR="00B37E73" w:rsidRPr="00B37E73">
        <w:t xml:space="preserve">Anders dan de meeste andere omgevingsdocumenten kan de </w:t>
      </w:r>
      <w:r w:rsidR="00086FBE">
        <w:t>reactieve interventie</w:t>
      </w:r>
      <w:r w:rsidR="00B37E73" w:rsidRPr="00B37E73">
        <w:t xml:space="preserve"> niet geannoteerd worden met de domeinspecifieke IMOW-objecten, oftewel met Activiteit, Omgevingswaarde, Omgevingsnorm en de verschillende typen Gebiedsaanwijzing.</w:t>
      </w:r>
    </w:p>
    <w:p w14:paraId="705E8442" w14:textId="63A119F3" w:rsidR="000436E4" w:rsidRDefault="000436E4" w:rsidP="0037794B">
      <w:r w:rsidRPr="000436E4">
        <w:t xml:space="preserve">Het volledige gebied waar de reactieve interventie over gaat moet worden vastgelegd met het objecttype Regelingsgebied dat in paragraaf </w:t>
      </w:r>
      <w:r w:rsidRPr="00B36ACA">
        <w:rPr>
          <w:rStyle w:val="Verwijzing"/>
        </w:rPr>
        <w:fldChar w:fldCharType="begin"/>
      </w:r>
      <w:r w:rsidRPr="00B36ACA">
        <w:rPr>
          <w:rStyle w:val="Verwijzing"/>
        </w:rPr>
        <w:instrText xml:space="preserve"> REF _Ref_d45658d907a1c14a5b45bac96779eb93_1</w:instrText>
      </w:r>
      <w:r w:rsidR="001A327F" w:rsidRPr="00B36ACA">
        <w:rPr>
          <w:rStyle w:val="Verwijzing"/>
        </w:rPr>
        <w:instrText>\n \h</w:instrText>
      </w:r>
      <w:r w:rsidRPr="00B36ACA">
        <w:rPr>
          <w:rStyle w:val="Verwijzing"/>
        </w:rPr>
        <w:instrText xml:space="preserve"> </w:instrText>
      </w:r>
      <w:r w:rsidRPr="00B36ACA">
        <w:rPr>
          <w:rStyle w:val="Verwijzing"/>
        </w:rPr>
      </w:r>
      <w:r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6.4.5</w:t>
      </w:r>
      <w:r w:rsidRPr="00B36ACA">
        <w:rPr>
          <w:rStyle w:val="Verwijzing"/>
        </w:rPr>
        <w:fldChar w:fldCharType="end"/>
      </w:r>
      <w:r>
        <w:t xml:space="preserve"> </w:t>
      </w:r>
      <w:r w:rsidRPr="000436E4">
        <w:t xml:space="preserve">wordt beschreven. Het objecttype Regelingsgebied krijgt per type omgevingsdocument een standaardweergave. Dit zorgt er voor dat het gebied waarover de </w:t>
      </w:r>
      <w:r>
        <w:t>reactieve interventie</w:t>
      </w:r>
      <w:r w:rsidRPr="000436E4">
        <w:t xml:space="preserve"> gaat, op een visueel onderscheidende manier wordt weergegeven in de viewer van DSO-LV.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7" Type="http://schemas.openxmlformats.org/officeDocument/2006/relationships/image" Target="media/image_c8dee116e31c53e7066c35fdc3736d04.png"/><Relationship Id="rId38" Type="http://schemas.openxmlformats.org/officeDocument/2006/relationships/image" Target="media/image_c5d0d2b589d8a89f8a6ef1817b03f597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