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C976" w14:textId="26512944" w:rsidR="00AE4769" w:rsidRDefault="00246BC4" w:rsidP="0028106D">
      <w:pPr>
        <w:pStyle w:val="Kop4"/>
      </w:pPr>
      <w:bookmarkStart w:id="25" w:name="_Ref_e03b19435d1c8924bc1c8b24c728f3fa_1"/>
      <w:r w:rsidRPr="00246BC4">
        <w:t>Het concept '</w:t>
      </w:r>
      <w:r w:rsidR="0043570F">
        <w:t>tijdelijk regelingdeel</w:t>
      </w:r>
      <w:r w:rsidRPr="00246BC4">
        <w:t>'</w:t>
      </w:r>
      <w:bookmarkEnd w:id="25"/>
    </w:p>
    <w:p w14:paraId="3A13CD67" w14:textId="52C58843" w:rsidR="00246BC4" w:rsidRDefault="00FE2470">
      <w:r>
        <w:t xml:space="preserve">Voor de </w:t>
      </w:r>
      <w:r w:rsidRPr="00FE2470">
        <w:t xml:space="preserve">alternatieve toepassing </w:t>
      </w:r>
      <w:r w:rsidR="00AD77A5">
        <w:t xml:space="preserve">van </w:t>
      </w:r>
      <w:r w:rsidR="00D80239" w:rsidRPr="00D80239">
        <w:t xml:space="preserve">het meervoudig bronhouderschap </w:t>
      </w:r>
      <w:r w:rsidR="001D32DE">
        <w:t>hante</w:t>
      </w:r>
      <w:r w:rsidR="002234D3">
        <w:t>e</w:t>
      </w:r>
      <w:r w:rsidR="001D32DE">
        <w:t>r</w:t>
      </w:r>
      <w:r w:rsidR="002234D3">
        <w:t>t</w:t>
      </w:r>
      <w:r w:rsidR="001D32DE">
        <w:t xml:space="preserve"> de </w:t>
      </w:r>
      <w:r w:rsidR="001D32DE" w:rsidRPr="001D32DE">
        <w:t>STOP/TPOD-Standaard</w:t>
      </w:r>
      <w:r w:rsidR="00D80239" w:rsidRPr="00D80239">
        <w:t xml:space="preserve"> het concept ‘</w:t>
      </w:r>
      <w:r w:rsidR="0043570F">
        <w:t>tijdelijk regelingdeel</w:t>
      </w:r>
      <w:r w:rsidR="00D80239" w:rsidRPr="00D80239">
        <w:t xml:space="preserve">’. Dit concept </w:t>
      </w:r>
      <w:r w:rsidR="00211DC1">
        <w:t xml:space="preserve">houdt in </w:t>
      </w:r>
      <w:r w:rsidR="00D80239" w:rsidRPr="00D80239">
        <w:t>dat de juridische geconsolideerde regeling kan bestaan uit een hoofdregeling en een tijdelijk regelingdeel.</w:t>
      </w:r>
      <w:r w:rsidR="00235F02">
        <w:t xml:space="preserve"> Het </w:t>
      </w:r>
      <w:r w:rsidR="00235F02" w:rsidRPr="00235F02">
        <w:t>tijdelijk regelingdeel</w:t>
      </w:r>
      <w:r w:rsidR="00C409AB">
        <w:t xml:space="preserve"> maakt </w:t>
      </w:r>
      <w:r w:rsidR="005B7FCA" w:rsidRPr="005B7FCA">
        <w:t>tijdelijk deel uit van de regeling</w:t>
      </w:r>
      <w:r w:rsidR="005B7FCA">
        <w:t>.</w:t>
      </w:r>
      <w:r w:rsidR="00D80239" w:rsidRPr="00D80239">
        <w:t xml:space="preserve"> Technisch zijn het twee losse delen. </w:t>
      </w:r>
      <w:r w:rsidR="00AD77A5">
        <w:t xml:space="preserve">Schematisch </w:t>
      </w:r>
      <w:r w:rsidR="00D80239" w:rsidRPr="00D80239">
        <w:t xml:space="preserve">ziet </w:t>
      </w:r>
      <w:r w:rsidR="00AD77A5">
        <w:t xml:space="preserve">dit </w:t>
      </w:r>
      <w:r w:rsidR="00D80239" w:rsidRPr="00D80239">
        <w:t>er zo uit:</w:t>
      </w:r>
    </w:p>
    <w:p w14:paraId="76F483D9" w14:textId="627F070F" w:rsidR="003C30F3" w:rsidRPr="003C30F3" w:rsidRDefault="00F90D66">
      <w:pPr>
        <w:pStyle w:val="Figuur"/>
      </w:pPr>
      <w:r>
        <w:rPr>
          <w:noProof/>
        </w:rPr>
        <w:lastRenderedPageBreak/>
        <w:drawing>
          <wp:inline distT="0" distB="0" distL="0" distR="0" wp14:anchorId="75374ECA" wp14:editId="7BDCD908">
            <wp:extent cx="4114800" cy="28067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0625D" w14:textId="0C6339EE" w:rsidR="004F26EC" w:rsidRDefault="00114BD5">
      <w:pPr>
        <w:pStyle w:val="Figuurbijschrift"/>
      </w:pPr>
      <w:r w:rsidRPr="00114BD5">
        <w:tab/>
        <w:t>Onderdelen geconsolideerde regeling: hoofdregeling en tijdelijk regel</w:t>
      </w:r>
      <w:r w:rsidR="00EB578A">
        <w:t>ing</w:t>
      </w:r>
      <w:r w:rsidRPr="00114BD5">
        <w:t>deel</w:t>
      </w:r>
    </w:p>
    <w:p w14:paraId="193D404C" w14:textId="4DEC026B" w:rsidR="001F2C43" w:rsidRDefault="001F2C43">
      <w:r>
        <w:t xml:space="preserve">Een regeling bestaat op deze manier uit één hoofdregeling en nul of meer tijdelijke regelingdelen. Elk deel (de hoofdregeling en ieder tijdelijk regelingdeel) is een apart 'work' </w:t>
      </w:r>
      <w:r w:rsidR="00546594" w:rsidRPr="00546594">
        <w:t>(een eigenstandig deel)</w:t>
      </w:r>
      <w:r w:rsidR="00546594">
        <w:t xml:space="preserve"> </w:t>
      </w:r>
      <w:r>
        <w:t xml:space="preserve">en kan worden beheerd door een ander bevoegd gezag. Elk deel kan worden gewijzigd en heeft dus ook zijn eigen versies. </w:t>
      </w:r>
      <w:r w:rsidR="00B931E4" w:rsidRPr="00B931E4">
        <w:t>Tijdelijke delen heten tijdelijk omdat ze tijdelijk bedoeld zijn: op een gegeven moment vervallen ze omdat ze niet meer geldig, niet meer van toepassing of niet meer nodig zijn.</w:t>
      </w:r>
    </w:p>
    <w:p w14:paraId="722599A3" w14:textId="3AA4E1AD" w:rsidR="00B931E4" w:rsidRDefault="002D5F49" w:rsidP="00A43B5F">
      <w:r>
        <w:t>In STOP is het tijdelijk</w:t>
      </w:r>
      <w:r w:rsidR="001657E4">
        <w:t xml:space="preserve"> </w:t>
      </w:r>
      <w:r>
        <w:t xml:space="preserve">regelingdeel vormgegeven in het </w:t>
      </w:r>
      <w:r w:rsidR="001657E4" w:rsidRPr="001657E4">
        <w:t>tekstmodel RegelingTijdelijkdeel.</w:t>
      </w:r>
      <w:r w:rsidR="003A295A">
        <w:t xml:space="preserve"> </w:t>
      </w:r>
      <w:r w:rsidR="003A295A" w:rsidRPr="003A295A">
        <w:t xml:space="preserve">De specificaties voor </w:t>
      </w:r>
      <w:r w:rsidR="00D37F0D">
        <w:t xml:space="preserve">de </w:t>
      </w:r>
      <w:r w:rsidR="003A295A" w:rsidRPr="003A295A">
        <w:t xml:space="preserve">toepassing van het tekstmodel RegelingTijdelijkdeel </w:t>
      </w:r>
      <w:r w:rsidR="00D37F0D">
        <w:t xml:space="preserve">op </w:t>
      </w:r>
      <w:r w:rsidR="00ED0F5F">
        <w:t xml:space="preserve">het voorbereidingsbesluit </w:t>
      </w:r>
      <w:r w:rsidR="003A295A" w:rsidRPr="003A295A">
        <w:t xml:space="preserve">staan in paragraaf </w:t>
      </w:r>
      <w:r w:rsidR="00ED0F5F" w:rsidRPr="00712F87">
        <w:rPr>
          <w:rStyle w:val="Verwijzing"/>
        </w:rPr>
        <w:fldChar w:fldCharType="begin"/>
      </w:r>
      <w:r w:rsidR="00ED0F5F" w:rsidRPr="00712F87">
        <w:rPr>
          <w:rStyle w:val="Verwijzing"/>
        </w:rPr>
        <w:instrText xml:space="preserve"> REF _Ref_7fc08a438ade27ab5252d8bd93eb8312_1 </w:instrText>
      </w:r>
      <w:r w:rsidR="0022065B" w:rsidRPr="00712F87">
        <w:rPr>
          <w:rStyle w:val="Verwijzing"/>
        </w:rPr>
        <w:instrText>\n \h</w:instrText>
      </w:r>
      <w:r w:rsidR="00ED0F5F" w:rsidRPr="00712F87">
        <w:rPr>
          <w:rStyle w:val="Verwijzing"/>
        </w:rPr>
        <w:instrText xml:space="preserve"> </w:instrText>
      </w:r>
      <w:r w:rsidR="00ED0F5F" w:rsidRPr="00712F87">
        <w:rPr>
          <w:rStyle w:val="Verwijzing"/>
        </w:rPr>
      </w:r>
      <w:r w:rsidR="00ED0F5F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7.2</w:t>
      </w:r>
      <w:r w:rsidR="00ED0F5F" w:rsidRPr="00712F87">
        <w:rPr>
          <w:rStyle w:val="Verwijzing"/>
        </w:rPr>
        <w:fldChar w:fldCharType="end"/>
      </w:r>
      <w:r w:rsidR="003A295A" w:rsidRPr="003A295A">
        <w:t>.</w:t>
      </w:r>
    </w:p>
    <w:p w14:paraId="2E07B7A4" w14:textId="53C11C32" w:rsidR="00530B39" w:rsidRDefault="00530B39" w:rsidP="00A43B5F">
      <w:r w:rsidRPr="00530B39">
        <w:t xml:space="preserve">Het concept tijdelijk </w:t>
      </w:r>
      <w:r>
        <w:t>regeling</w:t>
      </w:r>
      <w:r w:rsidRPr="00530B39">
        <w:t xml:space="preserve">deel geldt zowel voor tekst als voor geografische informatieobjecten. Een tijdelijk </w:t>
      </w:r>
      <w:r w:rsidR="00BF33CA">
        <w:t>regeling</w:t>
      </w:r>
      <w:r w:rsidRPr="00530B39">
        <w:t xml:space="preserve">deel kan Artikelen en Leden hebben die niet in de hoofdregeling voorkomen én alternatieve versies van </w:t>
      </w:r>
      <w:r w:rsidR="001E35CB">
        <w:t>A</w:t>
      </w:r>
      <w:r w:rsidRPr="00530B39">
        <w:t xml:space="preserve">rtikelen en </w:t>
      </w:r>
      <w:r w:rsidR="001E35CB">
        <w:t>L</w:t>
      </w:r>
      <w:r w:rsidRPr="00530B39">
        <w:t xml:space="preserve">eden uit de hoofdregeling. </w:t>
      </w:r>
      <w:r w:rsidR="00CE4038">
        <w:t>Ieder</w:t>
      </w:r>
      <w:r w:rsidRPr="00530B39">
        <w:t xml:space="preserve"> tijdelijk </w:t>
      </w:r>
      <w:r w:rsidR="00D14F33">
        <w:t>regeling</w:t>
      </w:r>
      <w:r w:rsidRPr="00530B39">
        <w:t xml:space="preserve">deel </w:t>
      </w:r>
      <w:r w:rsidR="00D14F33">
        <w:t xml:space="preserve">heeft eigen </w:t>
      </w:r>
      <w:r w:rsidRPr="00530B39">
        <w:t>geografische informatieobjecten</w:t>
      </w:r>
      <w:r w:rsidR="00270FE3">
        <w:t>.</w:t>
      </w:r>
      <w:r w:rsidR="00D345A2">
        <w:t xml:space="preserve"> Ze kunnen bedoeld zijn</w:t>
      </w:r>
      <w:r w:rsidRPr="00530B39">
        <w:t xml:space="preserve"> </w:t>
      </w:r>
      <w:r w:rsidR="00D345A2">
        <w:t xml:space="preserve">als </w:t>
      </w:r>
      <w:r w:rsidR="00D345A2" w:rsidRPr="00D345A2">
        <w:t>geografische informatieobjecten</w:t>
      </w:r>
      <w:r w:rsidR="00D345A2">
        <w:t xml:space="preserve"> die </w:t>
      </w:r>
      <w:r w:rsidRPr="00530B39">
        <w:t xml:space="preserve">niet in de hoofdregeling voorkomen </w:t>
      </w:r>
      <w:r w:rsidR="0054493E">
        <w:t xml:space="preserve">of als </w:t>
      </w:r>
      <w:r w:rsidRPr="00530B39">
        <w:t xml:space="preserve">alternatieve versies van geografische informatieobjecten uit de hoofdregeling. </w:t>
      </w:r>
      <w:r w:rsidR="0054493E">
        <w:t xml:space="preserve">Ze worden echter niet </w:t>
      </w:r>
      <w:r w:rsidR="00794AA8">
        <w:t xml:space="preserve">specifiek gemarkeerd </w:t>
      </w:r>
      <w:r w:rsidR="0054493E">
        <w:t xml:space="preserve">als </w:t>
      </w:r>
      <w:r w:rsidR="00794AA8" w:rsidRPr="00794AA8">
        <w:t xml:space="preserve">geografische informatieobjecten </w:t>
      </w:r>
      <w:r w:rsidR="00794AA8">
        <w:t xml:space="preserve">bij een tijdelijk regelingdeel. </w:t>
      </w:r>
      <w:r w:rsidRPr="00530B39">
        <w:t>Datzelfde geldt voor annotaties met IMOW-objecten.</w:t>
      </w:r>
    </w:p>
    <w:p w14:paraId="1AA4B840" w14:textId="34B7F2F3" w:rsidR="00712F87" w:rsidRDefault="001F2C43">
      <w:r>
        <w:t xml:space="preserve">De hoofdregeling is het initiële besluit </w:t>
      </w:r>
      <w:r w:rsidR="00AA27B5">
        <w:t xml:space="preserve">tot vaststelling van </w:t>
      </w:r>
      <w:r w:rsidR="00AA27B5" w:rsidRPr="00AA27B5">
        <w:t xml:space="preserve">het </w:t>
      </w:r>
      <w:r w:rsidR="00AA27B5">
        <w:t>o</w:t>
      </w:r>
      <w:r w:rsidR="00AA27B5" w:rsidRPr="00AA27B5">
        <w:t>mgevingsplan of de omgevingsverordening</w:t>
      </w:r>
      <w:r w:rsidR="00166724">
        <w:t>,</w:t>
      </w:r>
      <w:r w:rsidR="00AA27B5" w:rsidRPr="00AA27B5">
        <w:t xml:space="preserve"> </w:t>
      </w:r>
      <w:r>
        <w:t xml:space="preserve">geconsolideerd met alle wijzigingsbesluiten die </w:t>
      </w:r>
      <w:r w:rsidR="00A12C56">
        <w:t xml:space="preserve">de gemeente </w:t>
      </w:r>
      <w:r w:rsidR="00E4711F">
        <w:t>respectievelijk</w:t>
      </w:r>
      <w:r w:rsidR="00081C9E">
        <w:t xml:space="preserve"> de provincie </w:t>
      </w:r>
      <w:r w:rsidR="00A12C56" w:rsidRPr="00A12C56">
        <w:t xml:space="preserve">daarna </w:t>
      </w:r>
      <w:r w:rsidR="00A12C56">
        <w:t xml:space="preserve">heeft </w:t>
      </w:r>
      <w:r w:rsidR="00A12C56" w:rsidRPr="00A12C56">
        <w:t>genomen</w:t>
      </w:r>
      <w:r>
        <w:t xml:space="preserve">. Het tijdelijk regelingdeel is een technisch afzonderlijk deel, dat niet wordt geconsolideerd </w:t>
      </w:r>
      <w:r w:rsidR="00C83A54">
        <w:t xml:space="preserve">in </w:t>
      </w:r>
      <w:r>
        <w:t>de hoofdregeling</w:t>
      </w:r>
      <w:r w:rsidR="00C83A54">
        <w:t>, maar wel samen met de hoofdregeling de geconsolideerde regeling vormt</w:t>
      </w:r>
      <w:r>
        <w:t>. Ieder tijdelijk regelingdeel kan met wijzigingsbesluiten worden gewijzigd; dan ontstaat een consolidatie van dat tijdelijk regelingdeel.</w:t>
      </w:r>
    </w:p>
    <w:p w14:paraId="50D3AA2E" w14:textId="3C3D2859" w:rsidR="001F2C43" w:rsidRDefault="001F2C43">
      <w:r>
        <w:t xml:space="preserve">Ieder tijdelijk regelingdeel begint met een tekstblok met daarin de conditie van het tijdelijk regelingdeel: een beschrijving in woorden van de verhouding tussen dit tijdelijk regelingdeel en de hoofdregeling. </w:t>
      </w:r>
      <w:r w:rsidR="006029D8" w:rsidRPr="006029D8">
        <w:t xml:space="preserve">Door middel van het STOP-XML-element conditie is dit tekstblok met </w:t>
      </w:r>
      <w:r w:rsidR="003576CD">
        <w:t xml:space="preserve">de </w:t>
      </w:r>
      <w:r w:rsidR="006029D8" w:rsidRPr="006029D8">
        <w:t xml:space="preserve">conditie als zodanig te herkennen. Met behulp van het tekstelement conditie kunnen </w:t>
      </w:r>
      <w:r w:rsidR="00E803D5">
        <w:t>overheid.nl</w:t>
      </w:r>
      <w:r w:rsidR="006029D8" w:rsidRPr="006029D8">
        <w:t xml:space="preserve"> en DSO-LV het tekstblok met </w:t>
      </w:r>
      <w:r w:rsidR="003576CD">
        <w:t xml:space="preserve">de </w:t>
      </w:r>
      <w:r w:rsidR="006029D8" w:rsidRPr="006029D8">
        <w:t>conditie</w:t>
      </w:r>
      <w:r>
        <w:t>:</w:t>
      </w:r>
    </w:p>
    <w:p w14:paraId="63347EE6" w14:textId="7836AF65" w:rsidR="001F2C43" w:rsidRDefault="001F2C43">
      <w:pPr>
        <w:pStyle w:val="Opsommingtekens1"/>
      </w:pPr>
      <w:r>
        <w:lastRenderedPageBreak/>
        <w:t>tonen bij de regels uit het tijdelijk regelingdeel om aan te geven dat de regels onder bepaalde condities gelden;</w:t>
      </w:r>
    </w:p>
    <w:p w14:paraId="6FF535BD" w14:textId="75003F13" w:rsidR="001F2C43" w:rsidRDefault="001F2C43">
      <w:pPr>
        <w:pStyle w:val="Opsommingtekens1"/>
      </w:pPr>
      <w:r>
        <w:t>tonen bij de regels uit de hoofdregeling om aan te geven dat er een andere versie onder andere condities geldt.</w:t>
      </w:r>
    </w:p>
    <w:p w14:paraId="2D1B7AFD" w14:textId="59C4C6B6" w:rsidR="001F2C43" w:rsidRDefault="001F2C43">
      <w:r>
        <w:t xml:space="preserve">De </w:t>
      </w:r>
      <w:r w:rsidR="002E499B" w:rsidRPr="002E499B">
        <w:t xml:space="preserve">betekenis </w:t>
      </w:r>
      <w:r w:rsidR="00153EC2">
        <w:t xml:space="preserve">van de </w:t>
      </w:r>
      <w:r>
        <w:t>conditie word</w:t>
      </w:r>
      <w:r w:rsidR="00153EC2">
        <w:t>t</w:t>
      </w:r>
      <w:r>
        <w:t xml:space="preserve"> niet gemodelleerd. Er is dus geen attribuut waarmee de aard van de verhouding tussen hoofdregeling en tijdelijk regelingdeel machineleesbaar wordt gemaakt; er wordt bijvoorbeeld niet getoond dat het tijdelijk regelingdeel voorgaat op de hoofdregeling of andersom.</w:t>
      </w:r>
      <w:r w:rsidR="0078511D">
        <w:t xml:space="preserve"> Hoe die verhouding is</w:t>
      </w:r>
      <w:r w:rsidR="00FF0D7E">
        <w:t>,</w:t>
      </w:r>
      <w:r w:rsidR="0078511D">
        <w:t xml:space="preserve"> blijk</w:t>
      </w:r>
      <w:r w:rsidR="00FF0D7E">
        <w:t>t</w:t>
      </w:r>
      <w:r w:rsidR="0078511D">
        <w:t xml:space="preserve"> uit de beschrijving van de conditie.</w:t>
      </w:r>
    </w:p>
    <w:p w14:paraId="124A01F9" w14:textId="305EFDAF" w:rsidR="001F2C43" w:rsidRDefault="001F2C43">
      <w:r>
        <w:t>De relatie tussen het tijdelijk regelingdeel en de hoofdregeling wordt vastgelegd in de STOP-metadata van het besluit: d</w:t>
      </w:r>
      <w:r w:rsidR="00E76A31">
        <w:t>í</w:t>
      </w:r>
      <w:r>
        <w:t>t tijdelijk regelingdeel hoort bij d</w:t>
      </w:r>
      <w:r w:rsidR="00E76A31">
        <w:t>íé</w:t>
      </w:r>
      <w:r>
        <w:t xml:space="preserve"> hoofdregeling.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Relationship Id="rId19" Type="http://schemas.openxmlformats.org/officeDocument/2006/relationships/image" Target="media/image_d7dd4e1f8ae7f0451ec31bb45a4c17c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