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AF09" w14:textId="094480EB" w:rsidR="00A511B7" w:rsidRDefault="00E82D62" w:rsidP="00E82D62">
      <w:pPr>
        <w:pStyle w:val="Kop4"/>
      </w:pPr>
      <w:r w:rsidRPr="00E82D62">
        <w:t>Procedurestatus van onderdelen van de Regeling</w:t>
      </w:r>
    </w:p>
    <w:p w14:paraId="241271BE" w14:textId="65BE219D" w:rsidR="00E82D62" w:rsidRDefault="004C0040" w:rsidP="00E82D62">
      <w:r w:rsidRPr="004C0040">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14520B97" w14:textId="09E6469A" w:rsidR="004C0040" w:rsidRPr="00E82D62" w:rsidRDefault="008C3939" w:rsidP="00E06717">
      <w:pPr>
        <w:pStyle w:val="Kader"/>
      </w:pPr>
      <w:r>
        <w:rPr>
          <w:noProof/>
        </w:rPr>
        <mc:AlternateContent>
          <mc:Choice Requires="wps">
            <w:drawing>
              <wp:inline distT="0" distB="0" distL="0" distR="0" wp14:anchorId="622F3725" wp14:editId="6B71EFB1">
                <wp:extent cx="1828800" cy="1828800"/>
                <wp:effectExtent l="0" t="0" r="22860" b="22860"/>
                <wp:docPr id="26" name="Tekstvak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16FBFB7" w14:textId="77777777" w:rsidR="008C3939" w:rsidRPr="00372F55" w:rsidRDefault="008C3939" w:rsidP="008C3939">
                            <w:pPr>
                              <w:rPr>
                                <w:b/>
                                <w:bCs/>
                              </w:rPr>
                            </w:pPr>
                            <w:r w:rsidRPr="00372F55">
                              <w:rPr>
                                <w:b/>
                                <w:bCs/>
                              </w:rPr>
                              <w:t>Toekomstige functionaliteit</w:t>
                            </w:r>
                          </w:p>
                          <w:p w14:paraId="671ACAE3" w14:textId="77777777" w:rsidR="008C3939" w:rsidRPr="00007A3F" w:rsidRDefault="008C3939" w:rsidP="008C3939">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22F3725" id="Tekstvak 26"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Lx/icJAAgAAgQQAAA4AAAAAAAAA&#10;AAAAAAAALgIAAGRycy9lMm9Eb2MueG1sUEsBAi0AFAAGAAgAAAAhALcMAwjXAAAABQEAAA8AAAAA&#10;AAAAAAAAAAAAmgQAAGRycy9kb3ducmV2LnhtbFBLBQYAAAAABAAEAPMAAACeBQAAAAA=&#10;" filled="f" strokeweight=".5pt">
                <v:textbox style="mso-fit-shape-to-text:t">
                  <w:txbxContent>
                    <w:p w14:paraId="716FBFB7" w14:textId="77777777" w:rsidR="008C3939" w:rsidRPr="00372F55" w:rsidRDefault="008C3939" w:rsidP="008C3939">
                      <w:pPr>
                        <w:rPr>
                          <w:b/>
                          <w:bCs/>
                        </w:rPr>
                      </w:pPr>
                      <w:r w:rsidRPr="00372F55">
                        <w:rPr>
                          <w:b/>
                          <w:bCs/>
                        </w:rPr>
                        <w:t>Toekomstige functionaliteit</w:t>
                      </w:r>
                    </w:p>
                    <w:p w14:paraId="671ACAE3" w14:textId="77777777" w:rsidR="008C3939" w:rsidRPr="00007A3F" w:rsidRDefault="008C3939" w:rsidP="008C3939">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