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86D9" w14:textId="77777777" w:rsidR="004624F3" w:rsidRDefault="00DC3F34" w:rsidP="004624F3">
      <w:pPr>
        <w:pStyle w:val="Kop4"/>
      </w:pPr>
      <w:r>
        <w:t>Het aanleverproces</w:t>
      </w:r>
    </w:p>
    <w:p w14:paraId="62B31FC7" w14:textId="77C8ED40" w:rsidR="004624F3" w:rsidRDefault="00DC3F34">
      <w:r w:rsidRPr="00AB264A">
        <w:t xml:space="preserve">Het bevoegd gezag levert via het digitale kanaal het digitale besluit aan </w:t>
      </w:r>
      <w:r>
        <w:t>via het bronhouderskoppelvlak</w:t>
      </w:r>
      <w:r w:rsidRPr="00AB264A">
        <w:t xml:space="preserve">. Het digitale besluit bestaat uit een generiek formeel deel met daarin de artikelen </w:t>
      </w:r>
      <w:r w:rsidRPr="00206C10">
        <w:t xml:space="preserve">c.q. beleidstekst </w:t>
      </w:r>
      <w:r w:rsidRPr="00AB264A">
        <w:t xml:space="preserve">en informatieobjecten en een </w:t>
      </w:r>
      <w:r>
        <w:t>O</w:t>
      </w:r>
      <w:r w:rsidRPr="00AB264A">
        <w:t xml:space="preserve">mgevingswetdeel met specifieke objecten vanuit dit domein. </w:t>
      </w:r>
      <w:r>
        <w:t xml:space="preserve">In het geval van een wijzigingsbesluit levert het bevoegd gezag de </w:t>
      </w:r>
      <w:r w:rsidRPr="00AB264A">
        <w:t xml:space="preserve">consolidatie-instructies </w:t>
      </w:r>
      <w:r>
        <w:t xml:space="preserve">ten behoeve van het consolideren van het wijzigingsbesluit in de regeling. </w:t>
      </w:r>
      <w:r w:rsidRPr="00AB264A">
        <w:t xml:space="preserve">Beide delen vormen een gevalideerd consistent geheel. </w:t>
      </w:r>
      <w:r>
        <w:t>De LVBB verzorgt de</w:t>
      </w:r>
      <w:r w:rsidRPr="00AB264A">
        <w:t xml:space="preserve"> </w:t>
      </w:r>
      <w:r>
        <w:t xml:space="preserve">publicatie van </w:t>
      </w:r>
      <w:r w:rsidRPr="00AB264A">
        <w:t xml:space="preserve">het formele deel van het besluit in het </w:t>
      </w:r>
      <w:r>
        <w:t xml:space="preserve">digitale publicatieblad van het bevoegde gezag </w:t>
      </w:r>
      <w:r w:rsidRPr="002630C0">
        <w:t xml:space="preserve">op officiëlebekendmakingen.nl </w:t>
      </w:r>
      <w:r w:rsidRPr="00AB264A">
        <w:t xml:space="preserve">en consolideert het besluit in de regeling. </w:t>
      </w:r>
      <w:r>
        <w:t>De</w:t>
      </w:r>
      <w:r w:rsidRPr="00AB264A">
        <w:t xml:space="preserve"> </w:t>
      </w:r>
      <w:r>
        <w:t>IMOW-</w:t>
      </w:r>
      <w:r w:rsidRPr="00AB264A">
        <w:t xml:space="preserve">objecten </w:t>
      </w:r>
      <w:r>
        <w:t>worden gedistribueerd</w:t>
      </w:r>
      <w:r w:rsidRPr="00AB264A">
        <w:t xml:space="preserve"> </w:t>
      </w:r>
      <w:r>
        <w:t>naar DSO-LV ten behoeve van het Omgevings</w:t>
      </w:r>
      <w:r w:rsidRPr="00AB264A">
        <w:t>loket.</w:t>
      </w:r>
    </w:p>
    <w:p w14:paraId="0CD6F32E" w14:textId="68AA6BD1" w:rsidR="004624F3" w:rsidRDefault="00DC3F34">
      <w:pPr>
        <w:pStyle w:val="Figuur"/>
      </w:pPr>
      <w:r>
        <w:rPr>
          <w:noProof/>
        </w:rPr>
        <w:lastRenderedPageBreak/>
        <w:drawing>
          <wp:inline distT="0" distB="0" distL="0" distR="0" wp14:anchorId="3268AA23" wp14:editId="0DE5DE48">
            <wp:extent cx="5721350" cy="2076450"/>
            <wp:effectExtent l="0" t="0" r="0" b="0"/>
            <wp:docPr id="1771822136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F60B" w14:textId="77777777" w:rsidR="004624F3" w:rsidRDefault="00DC3F34">
      <w:pPr>
        <w:pStyle w:val="Figuurbijschrift"/>
      </w:pPr>
      <w:r>
        <w:t>Aanleverproces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23" Type="http://schemas.openxmlformats.org/officeDocument/2006/relationships/image" Target="media/image_3e16f68b7077ba39610468dee776388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