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604" w14:textId="4CAC3A29" w:rsidR="004624F3" w:rsidRDefault="00DC3F34" w:rsidP="004624F3">
      <w:pPr>
        <w:pStyle w:val="Kop3"/>
      </w:pPr>
      <w:bookmarkStart w:id="77" w:name="_Ref_9e311a958b9be847b3bc2bd8b6a7e86a_1"/>
      <w:r>
        <w:t>Specificatie van de Vrijetekststructuur</w:t>
      </w:r>
      <w:bookmarkEnd w:id="77"/>
    </w:p>
    <w:p w14:paraId="7489DB03" w14:textId="0761D07B" w:rsidR="004624F3" w:rsidRDefault="00DC3F34" w:rsidP="004624F3">
      <w:r w:rsidRPr="00F36254">
        <w:t xml:space="preserve">Zoals in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_Ref_ca85207a23295b37d9cf32b2274690b5_1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5.1</w:t>
      </w:r>
      <w:r w:rsidRPr="00A95539">
        <w:rPr>
          <w:rStyle w:val="Verwijzing"/>
        </w:rPr>
        <w:fldChar w:fldCharType="end"/>
      </w:r>
      <w:r w:rsidRPr="00F36254">
        <w:t xml:space="preserve"> 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62DBEC70" w14:textId="36FBEABC" w:rsidR="004624F3" w:rsidRDefault="00DC3F34" w:rsidP="004624F3">
      <w:r>
        <w:lastRenderedPageBreak/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="00156A58" w:rsidRPr="00156A58">
        <w:t>het omgevingsdocument</w:t>
      </w:r>
      <w:r>
        <w:t xml:space="preserve"> zelf, zoals bijlagen bij de regels</w:t>
      </w:r>
      <w:r w:rsidR="00156A58">
        <w:t xml:space="preserve"> of de beleidstekst</w:t>
      </w:r>
      <w:r>
        <w:t xml:space="preserve">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