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4624F3" w:rsidRDefault="00DC3F34" w:rsidP="004624F3">
      <w:pPr>
        <w:pStyle w:val="Kop4"/>
      </w:pPr>
      <w:r>
        <w:t>Toelichting</w:t>
      </w:r>
    </w:p>
    <w:p w14:paraId="781FAD18" w14:textId="056F227F" w:rsidR="004624F3" w:rsidRDefault="00DC3F34" w:rsidP="004624F3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omgevingsnormen (zie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_Ref_e35c375eb3c7373719bace4643a72c74_1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6.4.7</w:t>
      </w:r>
      <w:r w:rsidRPr="00A95539">
        <w:rPr>
          <w:rStyle w:val="Verwijzing"/>
        </w:rPr>
        <w:fldChar w:fldCharType="end"/>
      </w:r>
      <w:r>
        <w:t>). Hoe gemeten en/of gerekend moet worden, wordt vastgelegd in meet- en rekenbepalingen.</w:t>
      </w:r>
    </w:p>
    <w:p w14:paraId="7240579E" w14:textId="77777777" w:rsidR="004624F3" w:rsidRDefault="004624F3" w:rsidP="004624F3"/>
    <w:p w14:paraId="296E49CD" w14:textId="4BD84385" w:rsidR="004624F3" w:rsidRDefault="00DC3F34" w:rsidP="004624F3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is opgenomen; iets wat -indien van toepassing- ook meervoudig bronhouderschap kan vergemakkelijken. Ook wordt op deze manier voorkomen dat er onduidelijkheid ontstaat over bij welk werkingsgebied een meet- of rekenbepaling hoort. Zoals 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_Ref_6ad539b642f93c1fec452cd4ab601355_1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5.4</w:t>
      </w:r>
      <w:r w:rsidRPr="00A95539">
        <w:rPr>
          <w:rStyle w:val="Verwijzing"/>
        </w:rP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4624F3" w:rsidRDefault="00DC3F34" w:rsidP="004624F3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4624F3" w:rsidRPr="00AA40DF" w:rsidRDefault="00DC3F34" w:rsidP="004624F3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4624F3" w:rsidRDefault="004624F3" w:rsidP="004624F3"/>
    <w:p w14:paraId="6D7F175F" w14:textId="3D38D80A" w:rsidR="004624F3" w:rsidRDefault="00DC3F34" w:rsidP="004624F3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4624F3" w:rsidRDefault="004624F3" w:rsidP="004624F3"/>
    <w:p w14:paraId="212F2034" w14:textId="064B3A94" w:rsidR="004624F3" w:rsidRDefault="00DC3F34" w:rsidP="004624F3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 w:rsidR="00F00F23">
        <w:fldChar w:fldCharType="begin"/>
      </w:r>
      <w:r w:rsidR="00F00F23">
        <w:instrText xml:space="preserve"> DOCVARIABLE ID01+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