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4624F3" w:rsidRDefault="00DC3F34" w:rsidP="004624F3">
      <w:pPr>
        <w:pStyle w:val="Kop5"/>
      </w:pPr>
      <w:r>
        <w:t>Doel</w:t>
      </w:r>
    </w:p>
    <w:p w14:paraId="5B501555" w14:textId="440BC087" w:rsidR="004624F3" w:rsidRDefault="00DC3F34" w:rsidP="004624F3">
      <w:r>
        <w:t>Doel van het objecttype Juridische regel is:</w:t>
      </w:r>
    </w:p>
    <w:p w14:paraId="5FAEB783" w14:textId="7F3EEC38" w:rsidR="004624F3" w:rsidRDefault="00DC3F34" w:rsidP="004624F3">
      <w:pPr>
        <w:pStyle w:val="Opsommingtekens1"/>
      </w:pPr>
      <w:r>
        <w:t xml:space="preserve">het kunnen verbinden van </w:t>
      </w:r>
      <w:r w:rsidRPr="00635EFB">
        <w:t>verschillende onderdelen van een Regeltekst met eigen Locaties</w:t>
      </w:r>
      <w:r>
        <w:t>;</w:t>
      </w:r>
    </w:p>
    <w:p w14:paraId="10E9161F" w14:textId="4B85AF46" w:rsidR="00A95539" w:rsidRDefault="00DC3F34" w:rsidP="004624F3">
      <w:pPr>
        <w:pStyle w:val="Opsommingtekens1"/>
      </w:pPr>
      <w:r>
        <w:t xml:space="preserve">het kunnen annoteren van </w:t>
      </w:r>
      <w:r w:rsidRPr="007D2459">
        <w:t xml:space="preserve">verschillende onderdelen van een Regeltekst </w:t>
      </w:r>
      <w:r w:rsidRPr="00635EFB">
        <w:t xml:space="preserve">met thema en </w:t>
      </w:r>
      <w:r>
        <w:t xml:space="preserve">de </w:t>
      </w:r>
      <w:r w:rsidR="00DF2F15" w:rsidRPr="00DF2F15">
        <w:t>domeinspecifieke</w:t>
      </w:r>
      <w:r w:rsidR="00DF2F15" w:rsidRPr="00DF2F15" w:rsidDel="00DF2F15">
        <w:t xml:space="preserve"> </w:t>
      </w:r>
      <w:r w:rsidRPr="00635EFB">
        <w:t>annotaties</w:t>
      </w:r>
      <w:r>
        <w:t xml:space="preserve"> Activiteit, Omgevingsnorm, Omgevingswaarde en de verschillende typen Gebiedsaanwijzing;</w:t>
      </w:r>
    </w:p>
    <w:p w14:paraId="7A763556" w14:textId="59024F3E" w:rsidR="004624F3" w:rsidRDefault="00DC3F34" w:rsidP="004624F3">
      <w:pPr>
        <w:pStyle w:val="Opsommingtekens1"/>
      </w:pPr>
      <w:r>
        <w:t xml:space="preserve">het kunnen leggen van </w:t>
      </w:r>
      <w:r w:rsidRPr="00635EFB">
        <w:t xml:space="preserve">relaties tussen de </w:t>
      </w:r>
      <w:r w:rsidR="00DF2F15" w:rsidRPr="00DF2F15">
        <w:t>domeinspecifieke</w:t>
      </w:r>
      <w:r w:rsidR="00DF2F15" w:rsidRPr="00DF2F15" w:rsidDel="00DF2F15">
        <w:t xml:space="preserve"> </w:t>
      </w:r>
      <w:r w:rsidRPr="00635EFB">
        <w:t>annotaties, waardoor de Juridische regel als geheel machineleesbaar wordt</w:t>
      </w:r>
      <w:r>
        <w:t>;</w:t>
      </w:r>
    </w:p>
    <w:p w14:paraId="028C0749" w14:textId="24AF7E57" w:rsidR="004624F3" w:rsidRDefault="00DC3F34" w:rsidP="004624F3">
      <w:pPr>
        <w:pStyle w:val="Opsommingtekens1"/>
      </w:pPr>
      <w:r>
        <w:t xml:space="preserve">het, door middel van het attribuut </w:t>
      </w:r>
      <w:r w:rsidRPr="00643F8E">
        <w:rPr>
          <w:i/>
          <w:iCs/>
        </w:rPr>
        <w:t>thema</w:t>
      </w:r>
      <w:r>
        <w:t xml:space="preserve">, </w:t>
      </w:r>
      <w:r w:rsidRPr="002B7DA0">
        <w:t xml:space="preserve">in samenhang </w:t>
      </w:r>
      <w:r w:rsidRPr="00DF7C2D">
        <w:t xml:space="preserve">kunnen tonen </w:t>
      </w:r>
      <w:r>
        <w:t>van verschillende Juridische regels;</w:t>
      </w:r>
    </w:p>
    <w:p w14:paraId="37B2C2F1" w14:textId="0EE20597" w:rsidR="004624F3" w:rsidRDefault="00DC3F34" w:rsidP="004624F3">
      <w:pPr>
        <w:pStyle w:val="Opsommingtekens1"/>
      </w:pPr>
      <w:r>
        <w:t xml:space="preserve">het kunnen leggen van </w:t>
      </w:r>
      <w:r w:rsidRPr="00564A75">
        <w:t>verbinding</w:t>
      </w:r>
      <w:r>
        <w:t>en</w:t>
      </w:r>
      <w:r w:rsidRPr="00564A75">
        <w:t xml:space="preserve"> tussen onderdelen van verschillende omgevingsdocumenten, bijvoorbeeld een omgevingsvisie en een omgevingsverordening, die </w:t>
      </w:r>
      <w:r>
        <w:t xml:space="preserve">met </w:t>
      </w:r>
      <w:r w:rsidRPr="00564A75">
        <w:t xml:space="preserve">hetzelfde thema </w:t>
      </w:r>
      <w:r>
        <w:t>zijn geannoteerd;</w:t>
      </w:r>
    </w:p>
    <w:p w14:paraId="3F5ABFD8" w14:textId="090DE278" w:rsidR="004624F3" w:rsidRPr="00FC61C8" w:rsidRDefault="00DC3F34" w:rsidP="004624F3">
      <w:pPr>
        <w:pStyle w:val="Opsommingtekens1"/>
      </w:pPr>
      <w:r>
        <w:t xml:space="preserve">het kunnen selecteren van Regelteksten </w:t>
      </w:r>
      <w:r w:rsidRPr="00635EFB">
        <w:t>naar doelgroep</w:t>
      </w:r>
      <w:r w:rsidRPr="0049266F">
        <w:t xml:space="preserve"> </w:t>
      </w:r>
      <w:r>
        <w:t xml:space="preserve">door middel van de keuze voor het </w:t>
      </w:r>
      <w:r w:rsidRPr="0049266F">
        <w:t xml:space="preserve">type </w:t>
      </w:r>
      <w:r>
        <w:t>Juridische regel.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