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6A47" w14:textId="3F7ED469" w:rsidR="00A95539" w:rsidRDefault="00EB5F65" w:rsidP="00EB5F65">
      <w:pPr>
        <w:pStyle w:val="Kop4"/>
      </w:pPr>
      <w:r>
        <w:t>Ontwerpbesluit</w:t>
      </w:r>
    </w:p>
    <w:p w14:paraId="6FD20810" w14:textId="7FA7A837" w:rsidR="00A95539" w:rsidRDefault="001077F1" w:rsidP="00961A02">
      <w:r w:rsidRPr="00BD3D98">
        <w:t>Indien sprake is van een ontwerpbesluit levert het bevoegd gezag het ontwerpbesluit aan bij de LVBB met als soortProcedure ‘ontwerpbesluit’. Bij de procedurestappen voegt het bevoegd gezag in ieder geval</w:t>
      </w:r>
      <w:r w:rsidR="00870E0B">
        <w:t xml:space="preserve"> </w:t>
      </w:r>
      <w:r w:rsidRPr="00BD3D98">
        <w:t>de procedurestap ‘einde inzagetermijn’ met de bijbehorende datum toe.</w:t>
      </w:r>
      <w:r w:rsidR="00961A02">
        <w:t xml:space="preserve"> De LVBB voegt daar zelf nog gegevens aan toe zoals de datum van publicatie.</w:t>
      </w:r>
    </w:p>
    <w:p w14:paraId="4932191B" w14:textId="5DED51A5" w:rsidR="00A95539" w:rsidRDefault="00961A02" w:rsidP="00961A02">
      <w:r>
        <w:t xml:space="preserve">Van de terinzagelegging van een ontwerpbesluit moet op grond van de </w:t>
      </w:r>
      <w:r w:rsidR="001077F1">
        <w:t>Awb</w:t>
      </w:r>
      <w:r>
        <w:t xml:space="preserve"> een voorafgaande kennisgeving in het officiële publicatieblad van het bevoegd gezag gedaan worden. Onderzocht wordt nog of het bevoegd gezag die kennisgeving samen met het ontwerpbesluit moet aanleveren, of dat de LVBB die uit het ontwerpbesluit kan afleiden.</w:t>
      </w:r>
    </w:p>
    <w:p w14:paraId="59A1BDBE" w14:textId="21F9F973" w:rsidR="00EB5F65" w:rsidRDefault="00961A02" w:rsidP="00961A02">
      <w:r>
        <w:t>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IMOW-objecten door aan DSO-LV. DSO-LV weet dat het gaat om IMOW-objecten behorend bij een ontwerpbesluit omdat in dat geval bij de IMOW-objecten als procedurestatus ‘ontwerp’ is aangegeven.</w:t>
      </w:r>
    </w:p>
    <w:p w14:paraId="67281BDA" w14:textId="0F298067" w:rsidR="00EB5F65" w:rsidRDefault="00EB5F65" w:rsidP="004624F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