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13CD7576" w:rsidR="004624F3" w:rsidRPr="00F62F31" w:rsidRDefault="00DC3F34" w:rsidP="004624F3">
      <w:pPr>
        <w:pStyle w:val="Kop2bijlage"/>
      </w:pPr>
      <w:r w:rsidRPr="00F62F31">
        <w:lastRenderedPageBreak/>
        <w:t>Ontwerpkeuzen</w:t>
      </w:r>
    </w:p>
    <w:p w14:paraId="3FEB6480" w14:textId="3B226CD9" w:rsidR="004624F3" w:rsidRDefault="00DC3F34" w:rsidP="004624F3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F42094">
        <w:t>de waterschapsverordening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p w14:paraId="6F86E94E" w14:textId="2FB42AB0" w:rsidR="00D826FD" w:rsidRDefault="00D826FD">
      <w:pPr>
        <w:spacing w:line="240" w:lineRule="auto"/>
      </w:pPr>
      <w:r>
        <w:br w:type="page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