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EBD8" w14:textId="77777777" w:rsidR="00E21F2A" w:rsidRDefault="00E21F2A" w:rsidP="00E21F2A">
      <w:pPr>
        <w:pStyle w:val="Kop4"/>
      </w:pPr>
      <w:bookmarkStart w:id="83" w:name="_Ref_5e464c00e22c5395147b735b67f8f54c_1"/>
      <w:r>
        <w:t>Onderscheid tussen bijlagen en op het besluit betrekking hebbende stukken</w:t>
      </w:r>
      <w:bookmarkEnd w:id="83"/>
    </w:p>
    <w:p w14:paraId="2773B5CE" w14:textId="3CF81F2D" w:rsidR="00E21F2A" w:rsidRDefault="00E21F2A" w:rsidP="00E21F2A">
      <w:r>
        <w:t xml:space="preserve">In paragraaf </w:t>
      </w:r>
      <w:r>
        <w:fldChar w:fldCharType="begin"/>
      </w:r>
      <w:r>
        <w:instrText xml:space="preserve"> REF _Ref_3cb67efd0d3656fbeb0c63d17ea691cb_1 \n \h </w:instrText>
      </w:r>
      <w:r>
        <w:fldChar w:fldCharType="separate"/>
      </w:r>
      <w:r w:rsidR="00A92D2F">
        <w:t>4.1.1</w:t>
      </w:r>
      <w:r>
        <w:fldChar w:fldCharType="end"/>
      </w:r>
      <w:r>
        <w:t xml:space="preserve"> over het besluit in de juridische context is beschreven dat het </w:t>
      </w:r>
      <w:r w:rsidRPr="008134B1">
        <w:t xml:space="preserve">samenstel van Awb, Bekendmakingswet en Omgevingswet </w:t>
      </w:r>
      <w:r>
        <w:t xml:space="preserve">leidt tot </w:t>
      </w:r>
      <w:r w:rsidRPr="008134B1">
        <w:t xml:space="preserve">onderscheid tussen </w:t>
      </w:r>
      <w:r>
        <w:t xml:space="preserve">het </w:t>
      </w:r>
      <w:r w:rsidRPr="008134B1">
        <w:t xml:space="preserve">besluit en </w:t>
      </w:r>
      <w:r>
        <w:t xml:space="preserve">de </w:t>
      </w:r>
      <w:r w:rsidRPr="008134B1">
        <w:t>op dat besluit betrekking hebbende stukken.</w:t>
      </w:r>
      <w:r>
        <w:t xml:space="preserve"> H</w:t>
      </w:r>
      <w:r w:rsidRPr="00FA3F1B">
        <w:t xml:space="preserve">et besluit </w:t>
      </w:r>
      <w:r>
        <w:t>is</w:t>
      </w:r>
      <w:r w:rsidRPr="00FA3F1B">
        <w:t xml:space="preserve"> dat wat het bestuursorgaan besluit </w:t>
      </w:r>
      <w:r>
        <w:t>en vaststelt</w:t>
      </w:r>
      <w:r w:rsidRPr="00FA3F1B">
        <w:t xml:space="preserve">. </w:t>
      </w:r>
      <w:r w:rsidRPr="004553D8">
        <w:t xml:space="preserve">Het besluit </w:t>
      </w:r>
      <w:r>
        <w:t>wordt</w:t>
      </w:r>
      <w:r w:rsidRPr="004553D8">
        <w:t xml:space="preserve"> bekend gemaakt in het publicatieblad van het bevoegd gezag. </w:t>
      </w:r>
      <w:r>
        <w:t xml:space="preserve">Van het </w:t>
      </w:r>
      <w:r w:rsidRPr="00FD1DFB">
        <w:t xml:space="preserve">besluit </w:t>
      </w:r>
      <w:r>
        <w:t xml:space="preserve">kunnen bijlagen deel uitmaken. Deze bijlagen bevatten </w:t>
      </w:r>
      <w:r w:rsidRPr="004574C7">
        <w:t xml:space="preserve">informatie die onderdeel is van </w:t>
      </w:r>
      <w:r>
        <w:t>wat het bestuursorgaan vaststelt</w:t>
      </w:r>
      <w:r w:rsidRPr="004574C7">
        <w:t xml:space="preserve"> maar om redenen van </w:t>
      </w:r>
      <w:r w:rsidR="00800ECE">
        <w:t xml:space="preserve">omvang, </w:t>
      </w:r>
      <w:r w:rsidRPr="004574C7">
        <w:t xml:space="preserve">leesbaarheid en/of vormgeving niet goed in </w:t>
      </w:r>
      <w:r>
        <w:t xml:space="preserve">het besluit </w:t>
      </w:r>
      <w:r w:rsidRPr="004574C7">
        <w:t>kan worden opgenomen.</w:t>
      </w:r>
      <w:r>
        <w:t xml:space="preserve"> Bijlagen worden dus ook in het publicatieblad opgenomen.</w:t>
      </w:r>
    </w:p>
    <w:p w14:paraId="1D126EE3" w14:textId="77777777" w:rsidR="00E21F2A" w:rsidRPr="00AD3409" w:rsidRDefault="00E21F2A" w:rsidP="00E21F2A">
      <w:r w:rsidRPr="00FA3F1B">
        <w:t xml:space="preserve">Op het </w:t>
      </w:r>
      <w:r>
        <w:t>(ontwerp)</w:t>
      </w:r>
      <w:r w:rsidRPr="00FA3F1B">
        <w:t>besluit betrekking hebbende stukken zijn stukken die het bestuursorgaan gebruikt bij de onderbouwing van het besluit, maar niet vaststelt.</w:t>
      </w:r>
      <w:r>
        <w:t xml:space="preserve"> </w:t>
      </w:r>
      <w:r w:rsidRPr="00185DB9">
        <w:t>Rapportages van onderzoeken die zijn uitgevoerd ter onderbouwing van</w:t>
      </w:r>
      <w:r>
        <w:t xml:space="preserve"> het besluit zijn typische voorbeelden van op het (ontwerp)besluit </w:t>
      </w:r>
      <w:r w:rsidRPr="001F2F69">
        <w:t>betrekking hebbende stukken</w:t>
      </w:r>
      <w:r>
        <w:t xml:space="preserve">. </w:t>
      </w:r>
      <w:r w:rsidRPr="00616BD6">
        <w:t xml:space="preserve">De op het </w:t>
      </w:r>
      <w:r>
        <w:t>(ontwerp)</w:t>
      </w:r>
      <w:r w:rsidRPr="00616BD6">
        <w:t>besluit betrekking hebbende stukken moeten ter inzage gelegd worden.</w:t>
      </w:r>
      <w:r>
        <w:t xml:space="preserve"> Die </w:t>
      </w:r>
      <w:r w:rsidRPr="00524DA8">
        <w:t xml:space="preserve">terinzagelegging vindt niet plaats in </w:t>
      </w:r>
      <w:r>
        <w:t xml:space="preserve">het </w:t>
      </w:r>
      <w:r w:rsidRPr="00524DA8">
        <w:t>publicatieblad</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