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713915" w:rsidP="00713915">
      <w:pPr>
        <w:pStyle w:val="Kop4"/>
      </w:pPr>
      <w:r>
        <w:t>Modellen voor Besluit en Regeling</w:t>
      </w:r>
    </w:p>
    <w:p w14:paraId="0187F750" w14:textId="2C0E9AD7" w:rsidR="00713915" w:rsidRDefault="00713915" w:rsidP="00713915">
      <w:r>
        <w:t xml:space="preserve">Er zijn modellen voor </w:t>
      </w:r>
      <w:r w:rsidR="00705AEE" w:rsidRPr="00705AEE">
        <w:t xml:space="preserve">het Besluit </w:t>
      </w:r>
      <w:r>
        <w:t>en modellen voor</w:t>
      </w:r>
      <w:r w:rsidR="00705AEE">
        <w:t xml:space="preserve"> </w:t>
      </w:r>
      <w:r w:rsidR="00705AEE" w:rsidRPr="00705AEE">
        <w:t>de Regeling</w:t>
      </w:r>
      <w:r>
        <w:t xml:space="preserve">. </w:t>
      </w:r>
      <w:r w:rsidR="009A4528">
        <w:t xml:space="preserve">De </w:t>
      </w:r>
      <w:r w:rsidR="009A4528" w:rsidRPr="002B5A1D">
        <w:t>STOP/TPOD-standaard</w:t>
      </w:r>
      <w:r w:rsidR="009A4528">
        <w:t xml:space="preserve"> kent v</w:t>
      </w:r>
      <w:r w:rsidR="009A4528" w:rsidRPr="00F22697">
        <w:t xml:space="preserve">oor het Besluit de modellen BesluitKlassiek en BesluitCompact. </w:t>
      </w:r>
      <w:r w:rsidR="009A4528">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009A4528" w:rsidRPr="00AE64EF">
        <w:t>gemeente</w:t>
      </w:r>
      <w:r w:rsidR="009A4528">
        <w:t>,</w:t>
      </w:r>
      <w:r w:rsidR="009A4528" w:rsidRPr="00AE64EF">
        <w:t xml:space="preserve"> waterschap en </w:t>
      </w:r>
      <w:r w:rsidR="009A4528">
        <w:t xml:space="preserve">provincie, maar kan ook voor instrumenten met regels van het Rijk gebruikt worden. </w:t>
      </w:r>
      <w:r>
        <w:t xml:space="preserve">Het Rijk heeft dus een </w:t>
      </w:r>
      <w:r>
        <w:lastRenderedPageBreak/>
        <w:t xml:space="preserve">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w:t>
      </w:r>
      <w:r w:rsidR="000132A3">
        <w:t>,</w:t>
      </w:r>
      <w:r>
        <w:t xml:space="preserve"> een reactieve interventie</w:t>
      </w:r>
      <w:r w:rsidR="006F18C5">
        <w:t xml:space="preserve"> </w:t>
      </w:r>
      <w:r w:rsidR="006F18C5"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A92D2F">
          <w:t>de basistekst</w:t>
        </w:r>
      </w:fldSimple>
      <w:r>
        <w:t xml:space="preserve"> van toepassing zijn.</w:t>
      </w:r>
    </w:p>
    <w:p w14:paraId="58277295" w14:textId="3D78CF25" w:rsidR="00713915" w:rsidRPr="00C63D3C" w:rsidRDefault="00713915" w:rsidP="00713915">
      <w:pPr>
        <w:rPr>
          <w:b/>
          <w:bCs/>
        </w:rPr>
      </w:pPr>
      <w:r>
        <w:t xml:space="preserve">De modellen voor Regeling en Besluit die in het geval van </w:t>
      </w:r>
      <w:fldSimple w:instr=" DOCVARIABLE ID01+ ">
        <w:r w:rsidR="00A92D2F">
          <w:t>de basistekst</w:t>
        </w:r>
      </w:fldSimple>
      <w:r>
        <w:t xml:space="preserve"> gebruikt moeten worden, zijn in detail beschreven in paragraaf </w:t>
      </w:r>
      <w:r w:rsidR="00412234" w:rsidRPr="00863F41">
        <w:rPr>
          <w:rStyle w:val="Verwijzing"/>
        </w:rPr>
        <w:fldChar w:fldCharType="begin"/>
      </w:r>
      <w:r w:rsidR="00412234" w:rsidRPr="00863F41">
        <w:rPr>
          <w:rStyle w:val="Verwijzing"/>
        </w:rPr>
        <w:instrText xml:space="preserve"> REF _Ref_5b6c3d306d1c02bbd9fff0a77b2ed695_1 \r \h </w:instrText>
      </w:r>
      <w:r w:rsidR="00412234" w:rsidRPr="00863F41">
        <w:rPr>
          <w:rStyle w:val="Verwijzing"/>
        </w:rPr>
      </w:r>
      <w:r w:rsidR="00412234" w:rsidRPr="00863F41">
        <w:rPr>
          <w:rStyle w:val="Verwijzing"/>
        </w:rPr>
        <w:fldChar w:fldCharType="separate"/>
      </w:r>
      <w:r w:rsidR="00A92D2F">
        <w:rPr>
          <w:rStyle w:val="Verwijzing"/>
        </w:rPr>
        <w:t>4.4</w:t>
      </w:r>
      <w:r w:rsidR="00412234" w:rsidRPr="00863F41">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