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3DF2" w14:textId="08F52F7A" w:rsidR="00E33EDD" w:rsidRPr="00F1426F" w:rsidRDefault="00E33EDD" w:rsidP="002F7B04">
      <w:pPr>
        <w:pStyle w:val="Kop4"/>
      </w:pPr>
      <w:bookmarkStart w:id="407" w:name="_Ref_ec7bceb0aa9e3e6c064c2aa59a11bb52_1"/>
      <w:r w:rsidRPr="00F1426F">
        <w:t>Norm</w:t>
      </w:r>
      <w:bookmarkEnd w:id="407"/>
    </w:p>
    <w:p w14:paraId="1BBA84A3" w14:textId="49F72F55" w:rsidR="00EF57E8" w:rsidRPr="00AA5613" w:rsidRDefault="008B2389">
      <w:pPr>
        <w:pStyle w:val="Figuur"/>
      </w:pPr>
      <w:r w:rsidRPr="008B2389">
        <w:rPr>
          <w:noProof/>
        </w:rPr>
        <w:drawing>
          <wp:inline distT="0" distB="0" distL="0" distR="0" wp14:anchorId="39407A73" wp14:editId="7EC76147">
            <wp:extent cx="5400040" cy="3110230"/>
            <wp:effectExtent l="0" t="0" r="0" b="0"/>
            <wp:docPr id="31" name="Graph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96DAC541-7B7A-43D3-8B79-37D633B846F1}">
                          <asvg:svgBlip xmlns:asvg="http://schemas.microsoft.com/office/drawing/2016/SVG/main" r:embed="rId76"/>
                        </a:ext>
                      </a:extLst>
                    </a:blip>
                    <a:stretch>
                      <a:fillRect/>
                    </a:stretch>
                  </pic:blipFill>
                  <pic:spPr>
                    <a:xfrm>
                      <a:off x="0" y="0"/>
                      <a:ext cx="5400040" cy="3110230"/>
                    </a:xfrm>
                    <a:prstGeom prst="rect">
                      <a:avLst/>
                    </a:prstGeom>
                  </pic:spPr>
                </pic:pic>
              </a:graphicData>
            </a:graphic>
          </wp:inline>
        </w:drawing>
      </w:r>
    </w:p>
    <w:p w14:paraId="246E52D7" w14:textId="43242719" w:rsidR="003B05EE" w:rsidRPr="00F1426F" w:rsidRDefault="00B502CD" w:rsidP="002F7B04">
      <w:pPr>
        <w:pStyle w:val="Figuurbijschrift"/>
      </w:pPr>
      <w:r w:rsidRPr="00F1426F">
        <w:t>Uitsnede uit IMOW</w:t>
      </w:r>
      <w:r w:rsidR="00872CB8" w:rsidRPr="00F1426F">
        <w:t>-</w:t>
      </w:r>
      <w:r w:rsidR="00275597" w:rsidRPr="00F1426F">
        <w:t xml:space="preserve">diagram voor </w:t>
      </w:r>
      <w:r w:rsidR="0017464C" w:rsidRPr="00F1426F">
        <w:t>o</w:t>
      </w:r>
      <w:r w:rsidR="00355EB0" w:rsidRPr="00F1426F">
        <w:t>bjecttype Regeltekst</w:t>
      </w:r>
    </w:p>
    <w:p w14:paraId="2ED02EC7" w14:textId="2495A3D2" w:rsidR="00E33EDD" w:rsidRPr="00F1426F" w:rsidRDefault="00E33EDD" w:rsidP="002F7B04">
      <w:r w:rsidRPr="00F1426F">
        <w:t>Regeltekst kent de volgende attributen:</w:t>
      </w:r>
    </w:p>
    <w:p w14:paraId="2C688330" w14:textId="052890B4" w:rsidR="00E33EDD" w:rsidRPr="00F1426F" w:rsidRDefault="001F62F5" w:rsidP="00722F3F">
      <w:pPr>
        <w:pStyle w:val="Opsommingtekens1"/>
      </w:pPr>
      <w:r w:rsidRPr="00F1426F">
        <w:rPr>
          <w:i/>
          <w:iCs/>
        </w:rPr>
        <w:t>i</w:t>
      </w:r>
      <w:r w:rsidR="00E33EDD" w:rsidRPr="00F1426F">
        <w:rPr>
          <w:i/>
          <w:iCs/>
        </w:rPr>
        <w:t>dentificatie</w:t>
      </w:r>
      <w:r w:rsidR="00E33EDD" w:rsidRPr="00F1426F">
        <w:t xml:space="preserve">: de unieke identificatie waaronder elk object van dit type bekend is. </w:t>
      </w:r>
      <w:r w:rsidR="00815A73" w:rsidRPr="00F1426F">
        <w:t xml:space="preserve">Identificatie conform </w:t>
      </w:r>
      <w:r w:rsidR="00843A12" w:rsidRPr="00F1426F">
        <w:t xml:space="preserve">datatype </w:t>
      </w:r>
      <w:r w:rsidR="00815A73" w:rsidRPr="00F1426F">
        <w:t>NEN3610</w:t>
      </w:r>
      <w:r w:rsidR="007F1048" w:rsidRPr="00F1426F">
        <w:t>-ID</w:t>
      </w:r>
      <w:r w:rsidR="00815A73" w:rsidRPr="00F1426F">
        <w:t xml:space="preserve">. </w:t>
      </w:r>
      <w:r w:rsidR="00E33EDD" w:rsidRPr="00F1426F">
        <w:t>Verplicht attribuut.</w:t>
      </w:r>
      <w:r w:rsidR="00931B30" w:rsidRPr="00F1426F">
        <w:t xml:space="preserve"> Komt 1 keer voor.</w:t>
      </w:r>
    </w:p>
    <w:p w14:paraId="7D5D54B7" w14:textId="1136A53E" w:rsidR="00702320" w:rsidRPr="00F1426F" w:rsidRDefault="00702320" w:rsidP="002F7B04">
      <w:r w:rsidRPr="00F1426F">
        <w:t>Regeltekst kent geen waardelijsten</w:t>
      </w:r>
      <w:r w:rsidR="00470836" w:rsidRPr="00F1426F">
        <w:t>.</w:t>
      </w:r>
    </w:p>
    <w:p w14:paraId="786DEBD9" w14:textId="77777777" w:rsidR="00470836" w:rsidRPr="00F1426F" w:rsidRDefault="00470836" w:rsidP="002F7B04"/>
    <w:p w14:paraId="52C97463" w14:textId="3597BDF7" w:rsidR="004653A5" w:rsidRPr="00F1426F" w:rsidRDefault="000E097B" w:rsidP="002F7B04">
      <w:r w:rsidRPr="00F1426F">
        <w:t>Regeltekst kent de volgende</w:t>
      </w:r>
      <w:r w:rsidR="006F7B13" w:rsidRPr="00F1426F">
        <w:t xml:space="preserve"> constraint</w:t>
      </w:r>
      <w:r w:rsidR="004A6D13" w:rsidRPr="00F1426F">
        <w:t>s</w:t>
      </w:r>
      <w:r w:rsidR="006F7B13" w:rsidRPr="00F1426F">
        <w:t>:</w:t>
      </w:r>
    </w:p>
    <w:p w14:paraId="5E463066" w14:textId="6DC5EBBB" w:rsidR="00002CE5" w:rsidRPr="00F1426F" w:rsidRDefault="00C03F51" w:rsidP="002F7B04">
      <w:pPr>
        <w:pStyle w:val="Opsommingtekens1"/>
      </w:pPr>
      <w:r w:rsidRPr="00F1426F">
        <w:t xml:space="preserve">één type </w:t>
      </w:r>
      <w:r w:rsidR="00EE37B5" w:rsidRPr="00F1426F">
        <w:t>J</w:t>
      </w:r>
      <w:r w:rsidRPr="00F1426F">
        <w:t>uridische regel per</w:t>
      </w:r>
      <w:r w:rsidR="00E2701E" w:rsidRPr="00F1426F">
        <w:t xml:space="preserve"> </w:t>
      </w:r>
      <w:r w:rsidR="00EE37B5" w:rsidRPr="00F1426F">
        <w:t>Regeltekst</w:t>
      </w:r>
      <w:r w:rsidR="007E36FF" w:rsidRPr="00F1426F">
        <w:t>;</w:t>
      </w:r>
      <w:r w:rsidR="00D84188" w:rsidRPr="00F1426F">
        <w:t xml:space="preserve"> constraint geldig op het niveau van Artikel: alle Juridische regels in een Artikel en alle Juridische regels in alle Leden van een Artikel moeten van hetzelfde type zijn</w:t>
      </w:r>
      <w:r w:rsidR="0004236F" w:rsidRPr="00F1426F">
        <w:t>;</w:t>
      </w:r>
    </w:p>
    <w:p w14:paraId="14BEA9B0" w14:textId="2E4D08EB" w:rsidR="00C95366" w:rsidRPr="00F1426F" w:rsidRDefault="00E32A8F" w:rsidP="002F7B04">
      <w:pPr>
        <w:pStyle w:val="Opsommingtekens1"/>
      </w:pPr>
      <w:r w:rsidRPr="00F1426F">
        <w:t xml:space="preserve">indien </w:t>
      </w:r>
      <w:r w:rsidR="00D3137B" w:rsidRPr="00F1426F">
        <w:t>A</w:t>
      </w:r>
      <w:r w:rsidRPr="00F1426F">
        <w:t xml:space="preserve">rtikel is onderverdeeld in </w:t>
      </w:r>
      <w:r w:rsidR="00D3137B" w:rsidRPr="00F1426F">
        <w:t>L</w:t>
      </w:r>
      <w:r w:rsidRPr="00F1426F">
        <w:t xml:space="preserve">eden, annotaties alleen op </w:t>
      </w:r>
      <w:r w:rsidR="00D3137B" w:rsidRPr="00F1426F">
        <w:t>L</w:t>
      </w:r>
      <w:r w:rsidRPr="00F1426F">
        <w:t>eden</w:t>
      </w:r>
      <w:r w:rsidR="00C56256"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75" Type="http://schemas.openxmlformats.org/officeDocument/2006/relationships/image" Target="media/image_dd27ff54225b617722189dc414e1a264.png"/><Relationship Id="rId76" Type="http://schemas.openxmlformats.org/officeDocument/2006/relationships/image" Target="media/image_77ab1668e1f9ed97d8b33c1d88da3c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