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464" w:name="_Ref_66224d7f8c3e1d1d06996b11ffb88a3c_1"/>
      <w:r w:rsidRPr="00F1426F">
        <w:t>Toelichting op de norm</w:t>
      </w:r>
      <w:bookmarkEnd w:id="464"/>
    </w:p>
    <w:p w14:paraId="3A74374C" w14:textId="31CC9F1A"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4F4F63">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(en daarmee, al dan niet 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4F4F63">
        <w:rPr>
          <w:i/>
          <w:iCs/>
        </w:rPr>
        <w:t>noemer</w:t>
      </w:r>
      <w:r w:rsidR="003677B1">
        <w:t xml:space="preserve"> zinvol is of niet.</w:t>
      </w:r>
      <w:r w:rsidR="003F6ED0">
        <w:t xml:space="preserve"> Bij de beschrijving van die objecttypen wordt dit aangegeven.</w:t>
      </w:r>
    </w:p>
    <w:p w14:paraId="0C143E17" w14:textId="749CF041"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kan gebruik gemaakt worden van de waardelijst 'Eenheid</w:t>
      </w:r>
      <w:r w:rsidR="00371C3A" w:rsidRPr="00F1426F">
        <w:t>’.</w:t>
      </w:r>
      <w:r w:rsidR="009F56A2">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xml:space="preserve">: attribuut dat de verwijzing bevat van een specifiek Gebied, Lijn of Punt naar de identificatie van de bijbehorende Geometrie. Dit attribuut legt dus vast dat deze </w:t>
      </w:r>
      <w:r w:rsidRPr="00F1426F">
        <w:lastRenderedPageBreak/>
        <w:t>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5E71BF59"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3DDE6EF6" w:rsidR="000422BF" w:rsidRPr="004F4F63" w:rsidRDefault="00974B32" w:rsidP="0020646F">
      <w:pPr>
        <w:rPr>
          <w:u w:val="single"/>
        </w:rPr>
      </w:pPr>
      <w:r w:rsidRPr="004F4F63">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1F160931"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_Ref_7a71b434a46b2769f9e100508352a8f8_1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A92D2F">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lastRenderedPageBreak/>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4F4F63"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50779401" w:rsidR="00FF50C5"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_Ref_2040e1b89132e304da4f68bd55845cb6_1 \n \h </w:instrText>
      </w:r>
      <w:r w:rsidR="00D867BF">
        <w:fldChar w:fldCharType="separate"/>
      </w:r>
      <w:r w:rsidR="00A92D2F">
        <w:t>7.9.1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p w14:paraId="06747C78" w14:textId="7566BC00" w:rsidR="006060C1" w:rsidRPr="00F1426F" w:rsidRDefault="006060C1" w:rsidP="006060C1">
      <w:pPr>
        <w:pStyle w:val="Kader"/>
      </w:pPr>
      <w:r>
        <w:rPr>
          <w:noProof/>
        </w:rPr>
        <mc:AlternateContent>
          <mc:Choice Requires="wps">
            <w:drawing>
              <wp:inline distT="0" distB="0" distL="0" distR="0" wp14:anchorId="01473EB8" wp14:editId="0A5F5967">
                <wp:extent cx="5400040" cy="2939134"/>
                <wp:effectExtent l="0" t="0" r="22860" b="10160"/>
                <wp:docPr id="1192736511" name="Tekstvak 1192736511"/>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06BBB20C" w14:textId="4A457112" w:rsidR="00E90C0C" w:rsidRPr="00E90C0C" w:rsidRDefault="006060C1" w:rsidP="006060C1">
                            <w:pPr>
                              <w:rPr>
                                <w:b/>
                                <w:bCs/>
                              </w:rPr>
                            </w:pPr>
                            <w:r w:rsidRPr="0069163B">
                              <w:rPr>
                                <w:b/>
                                <w:bCs/>
                              </w:rPr>
                              <w:t>Toe</w:t>
                            </w:r>
                            <w:r>
                              <w:rPr>
                                <w:b/>
                                <w:bCs/>
                              </w:rPr>
                              <w:t>lichting op werkafspraak</w:t>
                            </w:r>
                          </w:p>
                          <w:p w14:paraId="71F23EB7" w14:textId="796BCD2F" w:rsidR="0096341A" w:rsidRDefault="007E59FC" w:rsidP="006060C1">
                            <w:r>
                              <w:rPr>
                                <w:i/>
                                <w:iCs/>
                              </w:rPr>
                              <w:t>h</w:t>
                            </w:r>
                            <w:r w:rsidR="00E90C0C">
                              <w:rPr>
                                <w:i/>
                                <w:iCs/>
                              </w:rPr>
                              <w:t>oogte</w:t>
                            </w:r>
                            <w:r w:rsidR="00E90C0C">
                              <w:t xml:space="preserve"> is het attribuut van Locatie </w:t>
                            </w:r>
                            <w:r w:rsidR="00400B9C" w:rsidRPr="00400B9C">
                              <w:t>waarmee voor Gebied, Lijn en Punt de hoogteligging kan worden vastgelegd</w:t>
                            </w:r>
                            <w:r w:rsidR="00400B9C">
                              <w:t xml:space="preserve">. </w:t>
                            </w:r>
                            <w:r w:rsidR="00823762">
                              <w:t>STOP kent hoogte niet, het is geen kenmerk van het GIO. Daar</w:t>
                            </w:r>
                            <w:r w:rsidR="00D575DF">
                              <w:t>door</w:t>
                            </w:r>
                            <w:r w:rsidR="00823762">
                              <w:t xml:space="preserve"> kan de hoogte niet bekendgemaakt worden en heeft het </w:t>
                            </w:r>
                            <w:r w:rsidR="00D575DF">
                              <w:t>geen juridische werking.</w:t>
                            </w:r>
                          </w:p>
                          <w:p w14:paraId="3E2BE20D" w14:textId="755CDC0D" w:rsidR="006060C1" w:rsidRPr="00B85351" w:rsidRDefault="00D575DF" w:rsidP="007E59FC">
                            <w:r w:rsidRPr="00D575DF">
                              <w:t>Daarom geldt, totdat in een volgende versie van dit toepassingsprofiel dan wel in een nader bericht van de beheerder van de TPOD-Standaard anders is bepaald, de werkafspraak ‘Het attribuut</w:t>
                            </w:r>
                            <w:r w:rsidR="007E59FC">
                              <w:t xml:space="preserve"> </w:t>
                            </w:r>
                            <w:r w:rsidR="007E59FC" w:rsidRPr="00E4589D">
                              <w:rPr>
                                <w:i/>
                                <w:iCs/>
                              </w:rPr>
                              <w:t>hoogte</w:t>
                            </w:r>
                            <w:r w:rsidR="007E59FC">
                              <w:t xml:space="preserve"> wordt niet gebruikt’.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1473EB8" id="Tekstvak 1192736511" o:spid="_x0000_s1033"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" filled="f" strokeweight=".5pt">
                <v:textbox style="mso-fit-shape-to-text:t">
                  <w:txbxContent>
                    <w:p w14:paraId="06BBB20C" w14:textId="4A457112" w:rsidR="00E90C0C" w:rsidRPr="00E90C0C" w:rsidRDefault="006060C1" w:rsidP="006060C1">
                      <w:pPr>
                        <w:rPr>
                          <w:b/>
                          <w:bCs/>
                        </w:rPr>
                      </w:pPr>
                      <w:r w:rsidRPr="0069163B">
                        <w:rPr>
                          <w:b/>
                          <w:bCs/>
                        </w:rPr>
                        <w:t>Toe</w:t>
                      </w:r>
                      <w:r>
                        <w:rPr>
                          <w:b/>
                          <w:bCs/>
                        </w:rPr>
                        <w:t>lichting op werkafspraak</w:t>
                      </w:r>
                    </w:p>
                    <w:p w14:paraId="71F23EB7" w14:textId="796BCD2F" w:rsidR="0096341A" w:rsidRDefault="007E59FC" w:rsidP="006060C1">
                      <w:r>
                        <w:rPr>
                          <w:i/>
                          <w:iCs/>
                        </w:rPr>
                        <w:t>h</w:t>
                      </w:r>
                      <w:r w:rsidR="00E90C0C">
                        <w:rPr>
                          <w:i/>
                          <w:iCs/>
                        </w:rPr>
                        <w:t>oogte</w:t>
                      </w:r>
                      <w:r w:rsidR="00E90C0C">
                        <w:t xml:space="preserve"> is het attribuut van Locatie </w:t>
                      </w:r>
                      <w:r w:rsidR="00400B9C" w:rsidRPr="00400B9C">
                        <w:t>waarmee voor Gebied, Lijn en Punt de hoogteligging kan worden vastgelegd</w:t>
                      </w:r>
                      <w:r w:rsidR="00400B9C">
                        <w:t xml:space="preserve">. </w:t>
                      </w:r>
                      <w:r w:rsidR="00823762">
                        <w:t>STOP kent hoogte niet, het is geen kenmerk van het GIO. Daar</w:t>
                      </w:r>
                      <w:r w:rsidR="00D575DF">
                        <w:t>door</w:t>
                      </w:r>
                      <w:r w:rsidR="00823762">
                        <w:t xml:space="preserve"> kan de hoogte niet bekendgemaakt worden en heeft het </w:t>
                      </w:r>
                      <w:r w:rsidR="00D575DF">
                        <w:t>geen juridische werking.</w:t>
                      </w:r>
                    </w:p>
                    <w:p w14:paraId="3E2BE20D" w14:textId="755CDC0D" w:rsidR="006060C1" w:rsidRPr="00B85351" w:rsidRDefault="00D575DF" w:rsidP="007E59FC">
                      <w:r w:rsidRPr="00D575DF">
                        <w:t>Daarom geldt, totdat in een volgende versie van dit toepassingsprofiel dan wel in een nader bericht van de beheerder van de TPOD-Standaard anders is bepaald, de werkafspraak ‘Het attribuut</w:t>
                      </w:r>
                      <w:r w:rsidR="007E59FC">
                        <w:t xml:space="preserve"> </w:t>
                      </w:r>
                      <w:r w:rsidR="007E59FC" w:rsidRPr="00E4589D">
                        <w:rPr>
                          <w:i/>
                          <w:iCs/>
                        </w:rPr>
                        <w:t>hoogte</w:t>
                      </w:r>
                      <w:r w:rsidR="007E59FC">
                        <w:t xml:space="preserve"> wordt niet gebruikt’.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