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r w:rsidRPr="00F1426F">
        <w:lastRenderedPageBreak/>
        <w:t>Norm</w:t>
      </w:r>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96DAC541-7B7A-43D3-8B79-37D633B846F1}">
                          <asvg:svgBlip xmlns:asvg="http://schemas.microsoft.com/office/drawing/2016/SVG/main" r:embed="rId104"/>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5F9DB158"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06B369D8"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lastRenderedPageBreak/>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2BF02C9B"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is vrij in de keuze van de eenheid, waarbij gebruik gemaakt kan worden van de </w:t>
      </w:r>
      <w:r w:rsidR="00AE2C2F" w:rsidRPr="00F1426F">
        <w:t>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Pr="00F1426F" w:rsidRDefault="003C43A3" w:rsidP="002F7B04">
      <w:pPr>
        <w:pStyle w:val="Opsommingtekens1"/>
      </w:pPr>
      <w:r w:rsidRPr="00F1426F">
        <w:t>eenheid alleen bij kwantitatieve normwaarden.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03" Type="http://schemas.openxmlformats.org/officeDocument/2006/relationships/image" Target="media/image_9d18cae540e6ad2a2c2ddad83064ae4f.png"/><Relationship Id="rId104"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