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6CC776A8" w:rsidR="00605F03" w:rsidRDefault="00605F03" w:rsidP="00DA161C">
      <w:pPr>
        <w:pStyle w:val="Kop4"/>
      </w:pPr>
      <w:bookmarkStart w:id="621" w:name="_Ref_3e556eda820d0b0bbd933460d34e49d8_1"/>
      <w:r>
        <w:t xml:space="preserve">Alternatieven voor </w:t>
      </w:r>
      <w:r w:rsidR="00765842">
        <w:t xml:space="preserve">de </w:t>
      </w:r>
      <w:r w:rsidR="00794479">
        <w:t>wijzigingsmethode</w:t>
      </w:r>
      <w:r w:rsidR="00765842" w:rsidRPr="00765842">
        <w:t xml:space="preserve"> </w:t>
      </w:r>
      <w:r>
        <w:t>renvooi</w:t>
      </w:r>
    </w:p>
    <w:p w14:paraId="7135F8AA" w14:textId="445CFDA2"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A92D2F">
          <w:t>de basistekst</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 xml:space="preserve">een van de alternatieve wijzigingsmethoden, </w:t>
      </w:r>
      <w:r w:rsidR="003719C8">
        <w:t xml:space="preserve">namelijk Intrekken &amp; vervangen </w:t>
      </w:r>
      <w:r w:rsidR="00440963">
        <w:t xml:space="preserve">(zie paragraaf </w:t>
      </w:r>
      <w:r w:rsidR="0030439D">
        <w:fldChar w:fldCharType="begin"/>
      </w:r>
      <w:r w:rsidR="0030439D">
        <w:instrText xml:space="preserve"> REF _Ref_824c9cb9e77df85bfab2985573f1ef79_1 \n \h </w:instrText>
      </w:r>
      <w:r w:rsidR="0030439D">
        <w:fldChar w:fldCharType="separate"/>
      </w:r>
      <w:r w:rsidR="00A92D2F">
        <w:t>8.1.2.1.1</w:t>
      </w:r>
      <w:r w:rsidR="0030439D">
        <w:fldChar w:fldCharType="end"/>
      </w:r>
      <w:r w:rsidR="00853129">
        <w:t>)</w:t>
      </w:r>
      <w:r w:rsidR="0030439D">
        <w:t xml:space="preserve"> </w:t>
      </w:r>
      <w:r w:rsidR="003719C8">
        <w:t xml:space="preserve">of </w:t>
      </w:r>
      <w:r w:rsidR="007F15ED" w:rsidRPr="007F15ED">
        <w:t xml:space="preserve">Integrale </w:t>
      </w:r>
      <w:r w:rsidR="003719C8">
        <w:t>t</w:t>
      </w:r>
      <w:r w:rsidR="007F15ED" w:rsidRPr="007F15ED">
        <w:t>ekstvervanging</w:t>
      </w:r>
      <w:r w:rsidR="0030439D">
        <w:t xml:space="preserve"> (zie paragraaf </w:t>
      </w:r>
      <w:r w:rsidR="0030439D">
        <w:fldChar w:fldCharType="begin"/>
      </w:r>
      <w:r w:rsidR="0030439D">
        <w:instrText xml:space="preserve"> REF _Ref_824c9cb9e77df85bfab2985573f1ef79_2 \n \h </w:instrText>
      </w:r>
      <w:r w:rsidR="0030439D">
        <w:fldChar w:fldCharType="separate"/>
      </w:r>
      <w:r w:rsidR="00A92D2F">
        <w:t>8.1.2.1.2</w:t>
      </w:r>
      <w:r w:rsidR="0030439D">
        <w:fldChar w:fldCharType="end"/>
      </w:r>
      <w:r w:rsidR="0030439D">
        <w:t>)</w:t>
      </w:r>
      <w:r w:rsidR="007F15ED" w:rsidRPr="007F15ED">
        <w:t>.</w:t>
      </w:r>
      <w:r w:rsidR="002730D1">
        <w:t xml:space="preserve"> Gebruik van deze wijzigingsmethoden stelt bijzondere eisen aan de formulering van het besluit. Die zijn</w:t>
      </w:r>
      <w:r w:rsidR="009A5F40">
        <w:t xml:space="preserve">, met een voorbeeld, het onderwerp van paragraaf </w:t>
      </w:r>
      <w:r w:rsidR="009A5F40">
        <w:fldChar w:fldCharType="begin"/>
      </w:r>
      <w:r w:rsidR="009A5F40">
        <w:instrText xml:space="preserve"> REF _Ref_3af5d4a03d247e7d09a91c4b2bd8c6f7_1 \n \h </w:instrText>
      </w:r>
      <w:r w:rsidR="009A5F40">
        <w:fldChar w:fldCharType="separate"/>
      </w:r>
      <w:r w:rsidR="00A92D2F">
        <w:t>8.1.2.2</w:t>
      </w:r>
      <w:r w:rsidR="009A5F40">
        <w:fldChar w:fldCharType="end"/>
      </w:r>
      <w:r w:rsidR="009A5F4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