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735" w:name="_Ref_8aebee41219a9c187e3b710f89b0f97b_1"/>
      <w:r>
        <w:t>Aanleveren ontwerpbesluit</w:t>
      </w:r>
      <w:bookmarkEnd w:id="735"/>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 xml:space="preserve">en het in DSO-LV kunnen </w:t>
      </w:r>
      <w:r w:rsidRPr="00F82C32">
        <w:lastRenderedPageBreak/>
        <w:t>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29B1FC4C" w14:textId="1A9DA2C6" w:rsidR="0096341A" w:rsidRDefault="00E43714" w:rsidP="00E43714">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850F810" w14:textId="2C28BE5C" w:rsidR="00E43714" w:rsidRDefault="00E43714" w:rsidP="00E43714">
      <w:pPr>
        <w:pStyle w:val="Kop6"/>
      </w:pPr>
      <w:r>
        <w:t>BesluitMetadata</w:t>
      </w:r>
    </w:p>
    <w:p w14:paraId="719187F8" w14:textId="697D2AFE" w:rsidR="0096341A"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_Ref_3e01396da06a976de17ec555cde19de0_1 \n \h </w:instrText>
      </w:r>
      <w:r w:rsidR="00825DAC">
        <w:fldChar w:fldCharType="separate"/>
      </w:r>
      <w:r w:rsidR="00A92D2F">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771A3A50"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4D22C07C" w14:textId="03DD6E36" w:rsidR="00E43714" w:rsidRPr="00BF55FC" w:rsidRDefault="00E43714" w:rsidP="00E43714">
      <w:pPr>
        <w:pStyle w:val="Opsommingtekens1"/>
      </w:pPr>
      <w:r w:rsidRPr="00BF55FC">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FF53B4" w:rsidRPr="00BF55FC">
        <w:t xml:space="preserve">De citeertitel is </w:t>
      </w:r>
      <w:r w:rsidRPr="00BF55FC">
        <w:t>hetzelfde als de offici</w:t>
      </w:r>
      <w:r w:rsidR="00D34A56" w:rsidRPr="00BF55FC">
        <w:t>e</w:t>
      </w:r>
      <w:r w:rsidRPr="00BF55FC">
        <w:t>le</w:t>
      </w:r>
      <w:r w:rsidR="00D34A56" w:rsidRPr="00BF55FC">
        <w:t>T</w:t>
      </w:r>
      <w:r w:rsidRPr="00BF55FC">
        <w:t>itel en het RegelingOpschrift van het ontwerpbesluit</w:t>
      </w:r>
      <w:r w:rsidR="003E54B9" w:rsidRPr="00BF55FC">
        <w:t>, of, als die erg lang zijn, een verkorte versie daarvan</w:t>
      </w:r>
      <w:r w:rsidRPr="00BF55FC">
        <w:t xml:space="preserve">. De citeertitel wordt niet in het </w:t>
      </w:r>
      <w:r w:rsidR="001628AB" w:rsidRPr="00BF55FC">
        <w:t>ontwerp</w:t>
      </w:r>
      <w:r w:rsidRPr="00BF55FC">
        <w:t xml:space="preserve">besluit vastgesteld en daarom moet voor isOfficieel de waarde </w:t>
      </w:r>
      <w:r w:rsidRPr="00BF55FC">
        <w:rPr>
          <w:i/>
          <w:iCs/>
        </w:rPr>
        <w:t>false</w:t>
      </w:r>
      <w:r w:rsidRPr="00BF55FC">
        <w:t xml:space="preserve"> worden gekozen.</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1F718D">
        <w:lastRenderedPageBreak/>
        <w:t>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1F5FE602"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_Ref_8aebee41219a9c187e3b710f89b0f97b_2 \n \h </w:instrText>
      </w:r>
      <w:r w:rsidR="00B73547">
        <w:fldChar w:fldCharType="separate"/>
      </w:r>
      <w:r w:rsidR="00A92D2F">
        <w:t>Figuur 95</w:t>
      </w:r>
      <w:r w:rsidR="00B73547">
        <w:fldChar w:fldCharType="end"/>
      </w:r>
      <w:r>
        <w:t>:</w:t>
      </w:r>
    </w:p>
    <w:p w14:paraId="63754045" w14:textId="77777777" w:rsidR="00E43714" w:rsidRDefault="00E43714" w:rsidP="00E43714">
      <w:pPr>
        <w:pStyle w:val="Figuur"/>
      </w:pPr>
      <w:r>
        <w:rPr>
          <w:noProof/>
        </w:rPr>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737" w:name="_Ref_8aebee41219a9c187e3b710f89b0f97b_2"/>
      <w:r w:rsidRPr="005C5500">
        <w:t>Voorbeeld van de grondslag voor</w:t>
      </w:r>
      <w:r>
        <w:t xml:space="preserve"> het omgevingsplan</w:t>
      </w:r>
      <w:bookmarkEnd w:id="737"/>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4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4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c6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mB7+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t>RegelingMetadata</w:t>
      </w:r>
    </w:p>
    <w:p w14:paraId="7FCDE3A3" w14:textId="6748D9A8"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_Ref_4d3ce944b9910c26e42f47c116163820_1 \n \h </w:instrText>
      </w:r>
      <w:r w:rsidR="00825DAC">
        <w:fldChar w:fldCharType="separate"/>
      </w:r>
      <w:r w:rsidR="00A92D2F">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08A2CDC4" w14:textId="7FD7AA60" w:rsidR="0096341A" w:rsidRDefault="00E43714" w:rsidP="00E43714">
      <w:pPr>
        <w:pStyle w:val="Opsommingtekens1"/>
      </w:pPr>
      <w:r w:rsidRPr="00073B3E">
        <w:rPr>
          <w:i/>
          <w:iCs/>
        </w:rPr>
        <w:t>eindverantwoordelijke</w:t>
      </w:r>
      <w:r>
        <w:t>: kies uit de STOP-waardelijst voor gemeente (de identificatiecode van) de betreffende gemeente.</w:t>
      </w:r>
    </w:p>
    <w:p w14:paraId="1D5F2B48" w14:textId="68BC9E09" w:rsidR="00E43714" w:rsidRDefault="00E43714" w:rsidP="00E43714">
      <w:pPr>
        <w:pStyle w:val="Opsommingtekens1"/>
      </w:pPr>
      <w:r w:rsidRPr="00094953">
        <w:rPr>
          <w:i/>
          <w:iCs/>
        </w:rPr>
        <w:t>maker</w:t>
      </w:r>
      <w:r>
        <w:t>: kies uit de STOP-waardelijst voor gemeente (de identificatiecode van) de betreffende gemeente.</w:t>
      </w:r>
    </w:p>
    <w:p w14:paraId="7323773B" w14:textId="0FB025E8" w:rsidR="0096341A"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 xml:space="preserve">t geldt ook bij de aanlevering van een regelingversie horend bij </w:t>
      </w:r>
      <w:r w:rsidRPr="00094953">
        <w:lastRenderedPageBreak/>
        <w:t>een ontwerp-wijzigingsbesluit dat B&amp;W voornemens zijn te nemen, op basis van een delegatiebesluit van de gemeenteraad.</w:t>
      </w:r>
    </w:p>
    <w:p w14:paraId="579C1A0C" w14:textId="32A1F50A" w:rsidR="00E43714" w:rsidRDefault="00E43714" w:rsidP="00E43714">
      <w:pPr>
        <w:pStyle w:val="Opsommingtekens1"/>
      </w:pPr>
      <w:r w:rsidRPr="00094953">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568F4635" w:rsidR="00E43714" w:rsidRDefault="00674056" w:rsidP="0013504B">
      <w:pPr>
        <w:pStyle w:val="Opsommingtekens2"/>
      </w:pPr>
      <w:r w:rsidRPr="00674056">
        <w:t xml:space="preserve">in het omgevingsplan is de citeertitel </w:t>
      </w:r>
      <w:r>
        <w:t xml:space="preserve">niet </w:t>
      </w:r>
      <w:r w:rsidRPr="00674056">
        <w:t xml:space="preserve">vastgesteld: </w:t>
      </w:r>
      <w:r w:rsidR="00E43714">
        <w:t xml:space="preserve">laat </w:t>
      </w:r>
      <w:r w:rsidR="00CF642B" w:rsidRPr="00CF642B">
        <w:t xml:space="preserve">de citeertitel </w:t>
      </w:r>
      <w:r w:rsidR="00E43714" w:rsidRPr="00E82AC3">
        <w:t xml:space="preserve">hetzelfde zijn als de officiële titel </w:t>
      </w:r>
      <w:r w:rsidR="009653DB">
        <w:t>(</w:t>
      </w:r>
      <w:r w:rsidR="00E43714">
        <w:t xml:space="preserve">en </w:t>
      </w:r>
      <w:r w:rsidR="00E43714" w:rsidRPr="00E82AC3">
        <w:t>het RegelingOpschrift van de regeling</w:t>
      </w:r>
      <w:r w:rsidR="009653DB">
        <w:t xml:space="preserve">) </w:t>
      </w:r>
      <w:r w:rsidR="009653DB" w:rsidRPr="009653DB">
        <w:t>en kies voor isOfficieel de waarde</w:t>
      </w:r>
      <w:r w:rsidR="00E43714" w:rsidRPr="00B26948">
        <w:t xml:space="preserve"> </w:t>
      </w:r>
      <w:r w:rsidR="00E43714" w:rsidRPr="00B26948">
        <w:rPr>
          <w:i/>
          <w:iCs/>
        </w:rPr>
        <w:t>false</w:t>
      </w:r>
      <w:r w:rsidR="00E43714"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676327FD"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_Ref_8aebee41219a9c187e3b710f89b0f97b_3 \n \h </w:instrText>
      </w:r>
      <w:r w:rsidR="006304E0">
        <w:fldChar w:fldCharType="separate"/>
      </w:r>
      <w:r w:rsidR="00A92D2F">
        <w:t>Figuur 96</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738" w:name="_Ref_8aebee41219a9c187e3b710f89b0f97b_3"/>
      <w:r w:rsidRPr="005C5500">
        <w:t>Voorbeeld van de grondslag voor</w:t>
      </w:r>
      <w:r>
        <w:t xml:space="preserve"> het omgevingsplan</w:t>
      </w:r>
      <w:bookmarkEnd w:id="738"/>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4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xkMAIAAFo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V4NDa+p3AEHR/sR8VbeN4i/FD48CYeZQH+Y8/CIo9KEouggcVaT+/W3++gPqmDlrMOM&#10;FdxgCTjTPwwovBpNImghKZPp1zE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AsWcZ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739" w:name="_Ref_8aebee41219a9c187e3b710f89b0f97b_4"/>
      <w:r>
        <w:lastRenderedPageBreak/>
        <w:t>Procedureverloop</w:t>
      </w:r>
      <w:bookmarkEnd w:id="739"/>
    </w:p>
    <w:p w14:paraId="5FD8CC04" w14:textId="012AF6AA" w:rsidR="0096341A"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1B17ADDE" w:rsidR="00E43714" w:rsidRDefault="00E43714" w:rsidP="00E43714"/>
    <w:p w14:paraId="60719659" w14:textId="7D79BA1D" w:rsidR="0096341A"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00A1BD29" w:rsidR="00E43714" w:rsidRDefault="00E43714" w:rsidP="00E43714"/>
    <w:p w14:paraId="11FA34BC" w14:textId="77777777" w:rsidR="00E43714" w:rsidRDefault="00E43714" w:rsidP="00E43714">
      <w:r>
        <w:t>Als wordt gekozen voor de eerste manier wordt de module Procedureverloop bij het ontwerpbesluit aangeleverd. Het Procedureverloop moet dan de volgende gegevens bevatten:</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5C4742A1" w14:textId="41E5DB27" w:rsidR="0096341A" w:rsidRDefault="00E43714" w:rsidP="00E43714">
      <w:r>
        <w:t>NB: bij keuze voor de tweede manier is er geen Procedureverloop bij het ontwerpbesluit.</w:t>
      </w:r>
    </w:p>
    <w:p w14:paraId="4FE46490" w14:textId="34D4124D" w:rsidR="00E43714" w:rsidRDefault="00E43714" w:rsidP="00E43714">
      <w:pPr>
        <w:pStyle w:val="Kader"/>
      </w:pPr>
      <w:r>
        <w:rPr>
          <w:noProof/>
        </w:rPr>
        <w:lastRenderedPageBreak/>
        <mc:AlternateContent>
          <mc:Choice Requires="wps">
            <w:drawing>
              <wp:inline distT="0" distB="0" distL="0" distR="0" wp14:anchorId="40006A2C" wp14:editId="6AF5E6C9">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77777777" w:rsidR="00E43714" w:rsidRDefault="00E43714" w:rsidP="00E43714">
                            <w:pPr>
                              <w:rPr>
                                <w:b/>
                                <w:bCs/>
                              </w:rPr>
                            </w:pPr>
                            <w:r w:rsidRPr="0069163B">
                              <w:rPr>
                                <w:b/>
                                <w:bCs/>
                              </w:rPr>
                              <w:t>Toekomstige functionaliteit</w:t>
                            </w:r>
                          </w:p>
                          <w:p w14:paraId="37A2B1A7" w14:textId="3CD25FCA" w:rsidR="0096341A"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77862BC8" w:rsidR="002216E6" w:rsidRDefault="002216E6" w:rsidP="00E43714"/>
                          <w:p w14:paraId="70758DF3" w14:textId="77777777" w:rsidR="002216E6" w:rsidRPr="00694434" w:rsidRDefault="002216E6" w:rsidP="002216E6">
                            <w:pPr>
                              <w:rPr>
                                <w:b/>
                                <w:bCs/>
                              </w:rPr>
                            </w:pPr>
                            <w:r w:rsidRPr="00694434">
                              <w:rPr>
                                <w:b/>
                                <w:bCs/>
                              </w:rPr>
                              <w:t>Workaround</w:t>
                            </w:r>
                          </w:p>
                          <w:p w14:paraId="2844B41B" w14:textId="6DB1AF8E" w:rsidR="0096341A"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6EBE4599"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4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Vf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YqaR5HIKi2UB0RCAunGXGGr1qMv2bOvzCLQ4EN4qD7ZzxqCVgUDBIlDdhff9MHf+QKrZR0OGQl&#10;1bgFlMjvGjn8ko0Daj5expPPWAuxt5btrUXv1RKwzwwXyvAoBn8vz2JtQb3hNixCTjQxzTFzSf1Z&#10;XPrT4OM2cbFYRCecQsP8Wm8MD6HPqL72b8yagS2PRD/BeRhZ8Y60k2946cxi75G6yOgV0wF9nOA4&#10;E8O2hRW5vUev6z9h/hs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BcxhVfLgIAAFsEAAAOAAAAAAAAAAAAAAAAAC4CAABkcnMv&#10;ZTJvRG9jLnhtbFBLAQItABQABgAIAAAAIQCr69NA2wAAAAUBAAAPAAAAAAAAAAAAAAAAAIgEAABk&#10;cnMvZG93bnJldi54bWxQSwUGAAAAAAQABADzAAAAkAUAAAAA&#10;" filled="f" strokeweight=".5pt">
                <v:textbox style="mso-fit-shape-to-text:t">
                  <w:txbxContent>
                    <w:p w14:paraId="630E0251" w14:textId="77777777" w:rsidR="00E43714" w:rsidRDefault="00E43714" w:rsidP="00E43714">
                      <w:pPr>
                        <w:rPr>
                          <w:b/>
                          <w:bCs/>
                        </w:rPr>
                      </w:pPr>
                      <w:r w:rsidRPr="0069163B">
                        <w:rPr>
                          <w:b/>
                          <w:bCs/>
                        </w:rPr>
                        <w:t>Toekomstige functionaliteit</w:t>
                      </w:r>
                    </w:p>
                    <w:p w14:paraId="37A2B1A7" w14:textId="3CD25FCA" w:rsidR="0096341A"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77862BC8" w:rsidR="002216E6" w:rsidRDefault="002216E6" w:rsidP="00E43714"/>
                    <w:p w14:paraId="70758DF3" w14:textId="77777777" w:rsidR="002216E6" w:rsidRPr="00694434" w:rsidRDefault="002216E6" w:rsidP="002216E6">
                      <w:pPr>
                        <w:rPr>
                          <w:b/>
                          <w:bCs/>
                        </w:rPr>
                      </w:pPr>
                      <w:r w:rsidRPr="00694434">
                        <w:rPr>
                          <w:b/>
                          <w:bCs/>
                        </w:rPr>
                        <w:t>Workaround</w:t>
                      </w:r>
                    </w:p>
                    <w:p w14:paraId="2844B41B" w14:textId="6DB1AF8E" w:rsidR="0096341A"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6EBE4599"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r>
        <w:t>ConsolidatieInformatie</w:t>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image" Target="media/image_1c7eb21c1997bdb93d270fdd1c5d54d2.png"/><Relationship Id="rId12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